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" w:hAnsi="Aptos"/>
          <w:b/>
          <w:color w:val="2F5597"/>
          <w:sz w:val="22"/>
        </w:rPr>
        <w:t>RELATÓRIO TÉCNICO E METODOLÓGICO</w:t>
      </w:r>
    </w:p>
    <w:p>
      <w:pPr>
        <w:pStyle w:val="Title"/>
        <w:jc w:val="center"/>
      </w:pPr>
      <w:r>
        <w:t>Reconstrução histórica do Índice de Convergência Estrutural</w:t>
      </w:r>
    </w:p>
    <w:p>
      <w:pPr>
        <w:pStyle w:val="Subtitle"/>
        <w:jc w:val="center"/>
      </w:pPr>
      <w:r>
        <w:t>Painel comparável UE-27, 2004–2026 · Dinâmicas de seis países que ultrapassaram Portugal</w:t>
      </w:r>
    </w:p>
    <w:p>
      <w:pPr>
        <w:spacing w:before="840"/>
        <w:jc w:val="center"/>
      </w:pPr>
      <w:r>
        <w:rPr>
          <w:rFonts w:ascii="Aptos" w:hAnsi="Aptos"/>
          <w:b/>
          <w:color w:val="17365D"/>
          <w:sz w:val="22"/>
        </w:rPr>
        <w:t>Versão técnica 1.1 · Atualização PISA 2025</w:t>
      </w:r>
    </w:p>
    <w:p>
      <w:pPr>
        <w:jc w:val="center"/>
      </w:pPr>
      <w:r>
        <w:rPr>
          <w:rFonts w:ascii="Aptos" w:hAnsi="Aptos"/>
          <w:color w:val="666666"/>
          <w:sz w:val="20"/>
        </w:rPr>
        <w:t>Associação Democracia Plena · Lisboa · 8 de setembro de 2026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D9EAF7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Aptos" w:hAnsi="Aptos"/>
                <w:b/>
                <w:color w:val="17365D"/>
              </w:rPr>
              <w:t xml:space="preserve">Regra de integridade  </w:t>
            </w:r>
            <w:r>
              <w:t>Os 61 indicadores do ICE 2026 são reais e documentados. A reconstrução histórica não inventa observações nem retroprojeta indicadores inexistentes: utiliza o máximo de indicadores efetivamente disponíveis e comparáveis em cada período.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Ficha de controlo documental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2088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727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Conteúdo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Objeto</w:t>
            </w:r>
          </w:p>
        </w:tc>
        <w:tc>
          <w:tcPr>
            <w:tcW w:type="dxa" w:w="72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Reconstrução histórica do máximo de indicadores comparáveis do ICE para a UE-27 e estimação das ultrapassagens de Portugal.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Horizonte</w:t>
            </w:r>
          </w:p>
        </w:tc>
        <w:tc>
          <w:tcPr>
            <w:tcW w:type="dxa" w:w="72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2004–2026; último ano efetivamente observável varia por fonte.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Universo</w:t>
            </w:r>
          </w:p>
        </w:tc>
        <w:tc>
          <w:tcPr>
            <w:tcW w:type="dxa" w:w="72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27 Estados-Membros atuais; seis países de análise: SI, CZ, EE, SK, PL e LT.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Índice de referência</w:t>
            </w:r>
          </w:p>
        </w:tc>
        <w:tc>
          <w:tcPr>
            <w:tcW w:type="dxa" w:w="72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ICE integral construído em 2026 com 61 indicadores e últimos dados disponíveis.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Natureza do painel</w:t>
            </w:r>
          </w:p>
        </w:tc>
        <w:tc>
          <w:tcPr>
            <w:tcW w:type="dxa" w:w="72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Painel não equilibrado, com composição anual controlada e duas reconstruções de robustez.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Versão</w:t>
            </w:r>
          </w:p>
        </w:tc>
        <w:tc>
          <w:tcPr>
            <w:tcW w:type="dxa" w:w="72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1.1 · 8 de setembro de 2026; resultados históricos da versão 1.0 de 24 de agosto preservados.</w:t>
            </w:r>
          </w:p>
        </w:tc>
      </w:tr>
    </w:tbl>
    <w:p>
      <w:pPr>
        <w:pStyle w:val="Heading1"/>
      </w:pPr>
      <w:r>
        <w:t>Sumário executivo</w:t>
      </w:r>
    </w:p>
    <w:p>
      <w:r>
        <w:t>O exercício responde a uma pergunta histórica delimitada: em que momento os seis países que se encontram acima de Portugal no ICE integral de 2026 terão ultrapassado Portugal, quando se reconstrói o máximo possível de indicadores disponíveis e comparáveis desde 2004?</w:t>
      </w:r>
    </w:p>
    <w:p>
      <w:r>
        <w:t>Não existe um ano em que os 61 indicadores estejam simultaneamente observados. O ICE 2026 é uma fotografia multianual que combina a observação mais recente de cada indicador. A série histórica é, por isso, uma reconstrução do conceito do ICE com composição variável controlada, e não uma aplicação retrospetiva artificial dos 61 indicadores.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187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País</w:t>
            </w:r>
          </w:p>
        </w:tc>
        <w:tc>
          <w:tcPr>
            <w:tcW w:type="dxa" w:w="151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Estimativa central</w:t>
            </w:r>
          </w:p>
        </w:tc>
        <w:tc>
          <w:tcPr>
            <w:tcW w:type="dxa" w:w="1584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Intervalo plausível</w:t>
            </w:r>
          </w:p>
        </w:tc>
        <w:tc>
          <w:tcPr>
            <w:tcW w:type="dxa" w:w="223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Concordância no ano central</w:t>
            </w:r>
          </w:p>
        </w:tc>
        <w:tc>
          <w:tcPr>
            <w:tcW w:type="dxa" w:w="1584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Confiança</w:t>
            </w:r>
          </w:p>
        </w:tc>
      </w:tr>
      <w:tr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Eslovénia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2006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2004–2008</w:t>
            </w:r>
          </w:p>
        </w:tc>
        <w:tc>
          <w:tcPr>
            <w:tcW w:type="dxa" w:w="223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100.0%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Média-alta</w:t>
            </w:r>
          </w:p>
        </w:tc>
      </w:tr>
      <w:tr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Chéquia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2005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2004–2006</w:t>
            </w:r>
          </w:p>
        </w:tc>
        <w:tc>
          <w:tcPr>
            <w:tcW w:type="dxa" w:w="223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62.5%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Média-baixa</w:t>
            </w:r>
          </w:p>
        </w:tc>
      </w:tr>
      <w:tr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Estónia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2015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2005–2015</w:t>
            </w:r>
          </w:p>
        </w:tc>
        <w:tc>
          <w:tcPr>
            <w:tcW w:type="dxa" w:w="223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100.0%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Média</w:t>
            </w:r>
          </w:p>
        </w:tc>
      </w:tr>
      <w:tr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Eslováquia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2014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2008–2020</w:t>
            </w:r>
          </w:p>
        </w:tc>
        <w:tc>
          <w:tcPr>
            <w:tcW w:type="dxa" w:w="223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100.0%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Baixa</w:t>
            </w:r>
          </w:p>
        </w:tc>
      </w:tr>
      <w:tr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Polónia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2018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2016–2021</w:t>
            </w:r>
          </w:p>
        </w:tc>
        <w:tc>
          <w:tcPr>
            <w:tcW w:type="dxa" w:w="223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100.0%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Média</w:t>
            </w:r>
          </w:p>
        </w:tc>
      </w:tr>
      <w:tr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Lituânia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2019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2017–2022</w:t>
            </w:r>
          </w:p>
        </w:tc>
        <w:tc>
          <w:tcPr>
            <w:tcW w:type="dxa" w:w="223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50.0%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Baixa</w:t>
            </w:r>
          </w:p>
        </w:tc>
      </w:tr>
    </w:tbl>
    <w:p>
      <w:r>
        <w:t>As datas são estimativas históricas. O intervalo plausível incorpora divergência entre métodos, alterações de cobertura, transporte limitado entre ciclos e testes de exclusão. Não deve ser interpretado como intervalo de confiança probabilístico.</w:t>
      </w:r>
    </w:p>
    <w:p>
      <w:r>
        <w:t>Atualização do índice integral em 8 de setembro de 2026: a incorporação do PISA 2025 nos 27 países eleva Portugal de 35,2852 para 35,5701 pontos, mantendo o 21.º lugar. Na Educação, passa de 17.º (42,0940) para 15.º (44,6581). Os seis países analisados continuam acima de Portugal. O Anexo D apresenta o recálculo e a separação face ao painel histórico.</w:t>
      </w:r>
    </w:p>
    <w:p>
      <w:pPr>
        <w:pStyle w:val="Heading1"/>
      </w:pPr>
      <w:r>
        <w:t>1. Mandato, pergunta de investigação e âmbito</w:t>
      </w:r>
    </w:p>
    <w:p>
      <w:pPr>
        <w:pStyle w:val="Heading2"/>
      </w:pPr>
      <w:r>
        <w:t>1.1 Mandato</w:t>
      </w:r>
    </w:p>
    <w:p>
      <w:r>
        <w:t>O mandato não consiste em reconstituir obrigatoriamente os 61 indicadores para cada ano e país, objetivo que seria estatisticamente inviável e metodologicamente incorreto. Consiste em recuperar o maior painel historicamente disponível e comparável para a UE-27, preservar a arquitetura conceptual do ICE e estimar as dinâmicas relativas dos seis países face a Portugal.</w:t>
      </w:r>
    </w:p>
    <w:p>
      <w:pPr>
        <w:pStyle w:val="Heading2"/>
      </w:pPr>
      <w:r>
        <w:t>1.2 Pergunta de investigação</w:t>
      </w:r>
    </w:p>
    <w:p>
      <w:r>
        <w:t>Qual é o primeiro ano plausível e o ano central estimado em que Eslovénia, Chéquia, Estónia, Eslováquia, Polónia e Lituânia passaram a apresentar uma posição estrutural superior à de Portugal?</w:t>
      </w:r>
    </w:p>
    <w:p>
      <w:pPr>
        <w:pStyle w:val="Heading2"/>
      </w:pPr>
      <w:r>
        <w:t>1.3 Unidade de análise</w:t>
      </w:r>
    </w:p>
    <w:p>
      <w:r>
        <w:t>A unidade é o Estado-Membro por ano. A comparação usa a composição atual da UE-27 para todos os anos, evitando que alargamentos da União alterem mecanicamente a escala ordinal.</w:t>
      </w:r>
    </w:p>
    <w:p>
      <w:pPr>
        <w:pStyle w:val="Heading1"/>
      </w:pPr>
      <w:r>
        <w:t>2. Relação entre o ICE 2026 e a reconstrução histórica</w:t>
      </w:r>
    </w:p>
    <w:p>
      <w:pPr>
        <w:pStyle w:val="Heading2"/>
      </w:pPr>
      <w:r>
        <w:t>2.1 Os 61 indicadores não foram inventados</w:t>
      </w:r>
    </w:p>
    <w:p>
      <w:r>
        <w:t>O universo conceptual é constituído pelos 61 indicadores documentados na matriz auditável do ICE 2026. Cada indicador tem definição operacional, fonte, orientação, peso e referência temporal. O facto de um indicador não dispor de série desde 2004 não o torna inválido; apenas impede a sua utilização retrospetiva antes do início comparável da fonte.</w:t>
      </w:r>
    </w:p>
    <w:p>
      <w:pPr>
        <w:pStyle w:val="Heading2"/>
      </w:pPr>
      <w:r>
        <w:t>2.2 O ICE 2026 é multianual</w:t>
      </w:r>
    </w:p>
    <w:p>
      <w:r>
        <w:t>O exercício integral de 2026 reúne os últimos valores disponíveis. Alguns indicadores são anuais; outros seguem ciclos bienais, trienais, quadrienais ou de seis anos. Consequentemente, não existe um 'ano dos 61 indicadores'. O primeiro exercício que reúne os 61 é a edição de 2026, não um corte estatístico homogéneo de 2026.</w:t>
      </w:r>
    </w:p>
    <w:p>
      <w:pPr>
        <w:pStyle w:val="Heading2"/>
      </w:pPr>
      <w:r>
        <w:t>2.3 Consequência para a análise histórica</w:t>
      </w:r>
    </w:p>
    <w:p>
      <w:r>
        <w:t>A reconstrução histórica é um painel não equilibrado. Em cada ano entram apenas indicadores com definição suficientemente estável, cobertura mínima e observação ou transporte autorizado. Os pesos são reescalados no nível mais baixo admissível, sem alterar o peso igual das nove dimensões quando estas são elegíveis.</w:t>
      </w:r>
    </w:p>
    <w:p>
      <w:pPr>
        <w:pStyle w:val="Heading2"/>
      </w:pPr>
      <w:r>
        <w:t>2.4 Arquitetura explícita das nove dimensões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648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N.º</w:t>
            </w:r>
          </w:p>
        </w:tc>
        <w:tc>
          <w:tcPr>
            <w:tcW w:type="dxa" w:w="237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Dimensão</w:t>
            </w:r>
          </w:p>
        </w:tc>
        <w:tc>
          <w:tcPr>
            <w:tcW w:type="dxa" w:w="633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Conteúdo sintético</w:t>
            </w:r>
          </w:p>
        </w:tc>
      </w:tr>
      <w:tr>
        <w:tc>
          <w:tcPr>
            <w:tcW w:type="dxa" w:w="6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1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Prosperidade</w:t>
            </w:r>
          </w:p>
        </w:tc>
        <w:tc>
          <w:tcPr>
            <w:tcW w:type="dxa" w:w="63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Nível material de vida e rendimento disponível.</w:t>
            </w:r>
          </w:p>
        </w:tc>
      </w:tr>
      <w:tr>
        <w:tc>
          <w:tcPr>
            <w:tcW w:type="dxa" w:w="6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Produtividade</w:t>
            </w:r>
          </w:p>
        </w:tc>
        <w:tc>
          <w:tcPr>
            <w:tcW w:type="dxa" w:w="63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Valor criado por hora trabalhada.</w:t>
            </w:r>
          </w:p>
        </w:tc>
      </w:tr>
      <w:tr>
        <w:tc>
          <w:tcPr>
            <w:tcW w:type="dxa" w:w="6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3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Remuneração</w:t>
            </w:r>
          </w:p>
        </w:tc>
        <w:tc>
          <w:tcPr>
            <w:tcW w:type="dxa" w:w="63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Compensação do trabalho e poder de compra.</w:t>
            </w:r>
          </w:p>
        </w:tc>
      </w:tr>
      <w:tr>
        <w:tc>
          <w:tcPr>
            <w:tcW w:type="dxa" w:w="6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4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Educação</w:t>
            </w:r>
          </w:p>
        </w:tc>
        <w:tc>
          <w:tcPr>
            <w:tcW w:type="dxa" w:w="63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Resultados, qualificações e aprendizagem ao longo da vida.</w:t>
            </w:r>
          </w:p>
        </w:tc>
      </w:tr>
      <w:tr>
        <w:tc>
          <w:tcPr>
            <w:tcW w:type="dxa" w:w="6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5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Inovação</w:t>
            </w:r>
          </w:p>
        </w:tc>
        <w:tc>
          <w:tcPr>
            <w:tcW w:type="dxa" w:w="63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Condições de enquadramento, investimentos e atividades de inovação.</w:t>
            </w:r>
          </w:p>
        </w:tc>
      </w:tr>
      <w:tr>
        <w:tc>
          <w:tcPr>
            <w:tcW w:type="dxa" w:w="6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6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Competitividade externa</w:t>
            </w:r>
          </w:p>
        </w:tc>
        <w:tc>
          <w:tcPr>
            <w:tcW w:type="dxa" w:w="63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Sofisticação tecnológica e serviços intensivos em conhecimento.</w:t>
            </w:r>
          </w:p>
        </w:tc>
      </w:tr>
      <w:tr>
        <w:tc>
          <w:tcPr>
            <w:tcW w:type="dxa" w:w="6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7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Coesão social</w:t>
            </w:r>
          </w:p>
        </w:tc>
        <w:tc>
          <w:tcPr>
            <w:tcW w:type="dxa" w:w="63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Desigualdade e risco de pobreza ou exclusão.</w:t>
            </w:r>
          </w:p>
        </w:tc>
      </w:tr>
      <w:tr>
        <w:tc>
          <w:tcPr>
            <w:tcW w:type="dxa" w:w="6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8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Instituições</w:t>
            </w:r>
          </w:p>
        </w:tc>
        <w:tc>
          <w:tcPr>
            <w:tcW w:type="dxa" w:w="63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Estado de direito, capacidade, abertura e integridade.</w:t>
            </w:r>
          </w:p>
        </w:tc>
      </w:tr>
      <w:tr>
        <w:tc>
          <w:tcPr>
            <w:tcW w:type="dxa" w:w="6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9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Sustentabilidade ambiental</w:t>
            </w:r>
          </w:p>
        </w:tc>
        <w:tc>
          <w:tcPr>
            <w:tcW w:type="dxa" w:w="63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Descarbonização, circularidade, ecossistemas e resiliência.</w:t>
            </w:r>
          </w:p>
        </w:tc>
      </w:tr>
    </w:tbl>
    <w:p>
      <w:pPr>
        <w:pStyle w:val="Heading2"/>
      </w:pPr>
      <w:r>
        <w:t>2.5 Atualização estatística do índice de referência</w:t>
      </w:r>
    </w:p>
    <w:p>
      <w:r>
        <w:t>A fotografia integral de 2026 passa a incorporar o PISA 2025, divulgado pela OCDE em 8 de setembro de 2026. Mantêm-se nove dimensões, 61 indicadores, normalização ordinal UE-27 e pesos internos da matriz v3.0. O PISA corresponde a um terço da Educação e a 1/27 do ICE global. A edição revista não retroprojeta os novos resultados sobre os anos anteriores.</w:t>
      </w:r>
    </w:p>
    <w:p>
      <w:pPr>
        <w:pStyle w:val="Heading1"/>
      </w:pPr>
      <w:r>
        <w:t>3. Inventário, fontes e cobertura</w:t>
      </w:r>
    </w:p>
    <w:p>
      <w:pPr>
        <w:pStyle w:val="Heading2"/>
      </w:pPr>
      <w:r>
        <w:t>3.1 Fontes institucionais</w:t>
      </w:r>
    </w:p>
    <w:p>
      <w:pPr>
        <w:pStyle w:val="ListBullet"/>
      </w:pPr>
      <w:r>
        <w:t>Eurostat: contas nacionais, mercado de trabalho, educação, rendimento, pobreza, energia, emissões, circularidade e áreas protegidas.</w:t>
      </w:r>
    </w:p>
    <w:p>
      <w:pPr>
        <w:pStyle w:val="ListBullet"/>
      </w:pPr>
      <w:r>
        <w:t>OCDE: PISA e ponte histórica para o coeficiente de Gini.</w:t>
      </w:r>
    </w:p>
    <w:p>
      <w:pPr>
        <w:pStyle w:val="ListBullet"/>
      </w:pPr>
      <w:r>
        <w:t>Comissão Europeia: European Innovation Scoreboard, Community Innovation Survey, EU Justice Scoreboard, DESI/eGovernment Benchmark e Open Data Maturity.</w:t>
      </w:r>
    </w:p>
    <w:p>
      <w:pPr>
        <w:pStyle w:val="ListBullet"/>
      </w:pPr>
      <w:r>
        <w:t>Banco Mundial: Worldwide Governance Indicators.</w:t>
      </w:r>
    </w:p>
    <w:p>
      <w:pPr>
        <w:pStyle w:val="ListBullet"/>
      </w:pPr>
      <w:r>
        <w:t>V-Dem: indicadores institucionais e de integridade em painel anual.</w:t>
      </w:r>
    </w:p>
    <w:p>
      <w:pPr>
        <w:pStyle w:val="ListBullet"/>
      </w:pPr>
      <w:r>
        <w:t>Agência Europeia do Ambiente: pressão hídrica e ciclos do estado dos habitats.</w:t>
      </w:r>
    </w:p>
    <w:p>
      <w:r>
        <w:t>A cobertura anual e os resultados das reconstruções apresentados neste relatório conservam a extração histórica de 24 de agosto de 2026. O PISA 2025 é incorporado no índice integral; a atualização dos motores históricos exige o painel completo e nova execução das regras de elegibilidade e dos testes. Assim, os 28 indicadores indicados para 2025 não são uma contagem recalculada após esta divulgação.</w:t>
      </w:r>
    </w:p>
    <w:p>
      <w:pPr>
        <w:pStyle w:val="Heading2"/>
      </w:pPr>
      <w:r>
        <w:t>3.2 Cobertura anual recuperada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115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Ano</w:t>
            </w:r>
          </w:p>
        </w:tc>
        <w:tc>
          <w:tcPr>
            <w:tcW w:type="dxa" w:w="2160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Indicadores utilizáveis</w:t>
            </w:r>
          </w:p>
        </w:tc>
        <w:tc>
          <w:tcPr>
            <w:tcW w:type="dxa" w:w="115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Ano</w:t>
            </w:r>
          </w:p>
        </w:tc>
        <w:tc>
          <w:tcPr>
            <w:tcW w:type="dxa" w:w="2160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Indicadores utilizáveis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2004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30</w:t>
            </w:r>
          </w:p>
        </w:tc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2015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46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2005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32</w:t>
            </w:r>
          </w:p>
        </w:tc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2016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49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2006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37</w:t>
            </w:r>
          </w:p>
        </w:tc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2017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49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2007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34</w:t>
            </w:r>
          </w:p>
        </w:tc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2018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51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2008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40</w:t>
            </w:r>
          </w:p>
        </w:tc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2019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51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2009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43</w:t>
            </w:r>
          </w:p>
        </w:tc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2020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51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2010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44</w:t>
            </w:r>
          </w:p>
        </w:tc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2021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50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2011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45</w:t>
            </w:r>
          </w:p>
        </w:tc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2022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50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2012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45</w:t>
            </w:r>
          </w:p>
        </w:tc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2023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47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2013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45</w:t>
            </w:r>
          </w:p>
        </w:tc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2024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41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2014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46</w:t>
            </w:r>
          </w:p>
        </w:tc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2025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28</w:t>
            </w:r>
          </w:p>
        </w:tc>
      </w:tr>
    </w:tbl>
    <w:p>
      <w:r>
        <w:t>A cobertura sobe de 30 indicadores em 2004 para 37 em 2006, 44 em 2010, 49 em 2017 e 51 em 2018–2020. Nenhum ano atinge 61 indicadores.</w:t>
      </w:r>
    </w:p>
    <w:p>
      <w:pPr>
        <w:pStyle w:val="Heading2"/>
      </w:pPr>
      <w:r>
        <w:t>3.3 Pontes históricas documentadas</w:t>
      </w:r>
    </w:p>
    <w:p>
      <w:r>
        <w:t>Foram usadas pontes apenas quando a definição e a unidade eram compatíveis: EIS 2007 para colaboração entre PME; EIS 2009 para copublicações público-privadas e exportações tecnológicas/intensivas em conhecimento; OCDE para prolongamento do Gini antes da série Eurostat comparável. A ponte do Gini apresentou correlação de 0,9513 e erro absoluto médio de 0,96 pontos na zona de sobreposição.</w:t>
      </w:r>
    </w:p>
    <w:p>
      <w:pPr>
        <w:pStyle w:val="Heading1"/>
      </w:pPr>
      <w:r>
        <w:t>4. Modelo de dados e regras de proveniência</w:t>
      </w:r>
    </w:p>
    <w:p>
      <w:pPr>
        <w:pStyle w:val="Heading2"/>
      </w:pPr>
      <w:r>
        <w:t>4.1 Estados das observações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008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Código</w:t>
            </w:r>
          </w:p>
        </w:tc>
        <w:tc>
          <w:tcPr>
            <w:tcW w:type="dxa" w:w="2160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Estado</w:t>
            </w:r>
          </w:p>
        </w:tc>
        <w:tc>
          <w:tcPr>
            <w:tcW w:type="dxa" w:w="619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Regra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O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Observado</w:t>
            </w:r>
          </w:p>
        </w:tc>
        <w:tc>
          <w:tcPr>
            <w:tcW w:type="dxa" w:w="61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Valor publicado para o país e ano pela fonte institucional.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T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Transportado no ciclo</w:t>
            </w:r>
          </w:p>
        </w:tc>
        <w:tc>
          <w:tcPr>
            <w:tcW w:type="dxa" w:w="61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Última observação anterior dentro do intervalo máximo autorizado para a fonte cíclica.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R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Reconstruído/ponte</w:t>
            </w:r>
          </w:p>
        </w:tc>
        <w:tc>
          <w:tcPr>
            <w:tcW w:type="dxa" w:w="61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8"/>
              </w:rPr>
              <w:t>Valor de fonte histórica compatível, com correspondência documental de definição.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NA</w:t>
            </w:r>
          </w:p>
        </w:tc>
        <w:tc>
          <w:tcPr>
            <w:tcW w:type="dxa" w:w="2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Não disponível</w:t>
            </w:r>
          </w:p>
        </w:tc>
        <w:tc>
          <w:tcPr>
            <w:tcW w:type="dxa" w:w="61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8"/>
              </w:rPr>
              <w:t>Ausência preservada; não é preenchida por extrapolação estrutural.</w:t>
            </w:r>
          </w:p>
        </w:tc>
      </w:tr>
    </w:tbl>
    <w:p>
      <w:pPr>
        <w:pStyle w:val="Heading2"/>
      </w:pPr>
      <w:r>
        <w:t>4.2 Transporte entre ciclos</w:t>
      </w:r>
    </w:p>
    <w:p>
      <w:r>
        <w:t>O transporte é exclusivamente para a frente e limitado ao ciclo conhecido: até quatro anos para PISA e Estrutura dos Ganhos; até três anos para CIS; até dois anos para cloud computing. Não existe preenchimento retroativo. Todos os testes principais são repetidos sem transporte.</w:t>
      </w:r>
    </w:p>
    <w:p>
      <w:pPr>
        <w:pStyle w:val="Heading2"/>
      </w:pPr>
      <w:r>
        <w:t>4.3 Cobertura geográfica mínima</w:t>
      </w:r>
    </w:p>
    <w:p>
      <w:r>
        <w:t>Um indicador anual só é normalizado quando possui observações para pelo menos 14 dos 27 países. A grelha de sensibilidade repete o cálculo com mínimos de 14, 18 e 22 países.</w:t>
      </w:r>
    </w:p>
    <w:p>
      <w:pPr>
        <w:pStyle w:val="Heading1"/>
      </w:pPr>
      <w:r>
        <w:t>5. Normalização, elegibilidade e agregação</w:t>
      </w:r>
    </w:p>
    <w:p>
      <w:pPr>
        <w:pStyle w:val="Heading2"/>
      </w:pPr>
      <w:r>
        <w:t>5.1 Normalização ordinal UE-27</w:t>
      </w:r>
    </w:p>
    <w:p>
      <w:r>
        <w:t>Cada indicador é orientado para que valores superiores representem melhor desempenho. Os países são convertidos em percentis ordinais de 0 a 100, usando posição média nos empates. Esta transformação reduz a influência de unidades heterogéneas e valores extremos.</w:t>
      </w:r>
    </w:p>
    <w:p>
      <w:pPr>
        <w:pStyle w:val="Heading2"/>
      </w:pPr>
      <w:r>
        <w:t>5.2 Elegibilidade dos pilares</w:t>
      </w:r>
    </w:p>
    <w:p>
      <w:r>
        <w:t>Um pilar é elegível quando estão presentes pelo menos 50% do seu peso interno original e, nos pilares com vários indicadores, pelo menos dois componentes. A sensibilidade testa limiares de 40%, 50% e 60%.</w:t>
      </w:r>
    </w:p>
    <w:p>
      <w:pPr>
        <w:pStyle w:val="Heading2"/>
      </w:pPr>
      <w:r>
        <w:t>5.3 Elegibilidade das dimensões</w:t>
      </w:r>
    </w:p>
    <w:p>
      <w:r>
        <w:t>Em regra, uma dimensão só entra quando todos os seus pilares obrigatórios são elegíveis. Os indicadores disponíveis são reponderados dentro do respetivo pilar; os pesos originais dos pilares dentro da dimensão são preservados. Para Inovação aplica-se a regra histórica específica descrita em 5.4. O índice anual é a média das dimensões elegíveis, testando mínimos de três, cinco e sete dimensões.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D9EAF7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Aptos" w:hAnsi="Aptos"/>
                <w:b/>
                <w:color w:val="17365D"/>
              </w:rPr>
              <w:t xml:space="preserve">Proibição metodológica  </w:t>
            </w:r>
            <w:r>
              <w:t>Não se preenche uma dimensão ausente com a média do país, da UE ou de anos vizinhos. Não se usa informação futura para produzir a estimativa central de um ano passado.</w:t>
            </w:r>
          </w:p>
        </w:tc>
      </w:tr>
    </w:tbl>
    <w:p>
      <w:pPr>
        <w:spacing w:after="0"/>
      </w:pPr>
    </w:p>
    <w:p>
      <w:pPr>
        <w:pStyle w:val="Heading2"/>
      </w:pPr>
      <w:r>
        <w:t>5.4 Regra histórica específica para Inovação</w:t>
      </w:r>
    </w:p>
    <w:p>
      <w:r>
        <w:t>A dimensão Inovação é obrigatoriamente retida com os dados comparáveis disponíveis. São calculados separadamente os pilares Condições de enquadramento, Investimentos e Atividades de inovação. Um pilar entra quando possui pelo menos um indicador comparável; a dimensão entra quando existem pelo menos dois pilares observados. Os indicadores são reponderados dentro do pilar e os pilares observados são reponderados entre si pelos pesos originais. A ausência de um indicador ou pilar nunca é preenchida por valor inventado.</w:t>
      </w:r>
    </w:p>
    <w:p>
      <w:r>
        <w:t>Esta regra impede que a dimensão desapareça apenas porque algumas séries EIS começaram mais tarde. Inovação passa a integrar os cálculos históricos desde o primeiro ano em que existem dois pilares observáveis e surge expressamente em todas as decomposições por país.</w:t>
      </w:r>
    </w:p>
    <w:p>
      <w:pPr>
        <w:pStyle w:val="Heading1"/>
      </w:pPr>
      <w:r>
        <w:t>6. Três reconstruções complementares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1944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Reconstrução</w:t>
            </w:r>
          </w:p>
        </w:tc>
        <w:tc>
          <w:tcPr>
            <w:tcW w:type="dxa" w:w="259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Função</w:t>
            </w:r>
          </w:p>
        </w:tc>
        <w:tc>
          <w:tcPr>
            <w:tcW w:type="dxa" w:w="237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Vantagem</w:t>
            </w:r>
          </w:p>
        </w:tc>
        <w:tc>
          <w:tcPr>
            <w:tcW w:type="dxa" w:w="2448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Limitação</w:t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Composição anual controlada</w:t>
            </w:r>
          </w:p>
        </w:tc>
        <w:tc>
          <w:tcPr>
            <w:tcW w:type="dxa" w:w="25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Estimativa principal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Maximiza a informação disponível em cada ano com regras de elegibilidade.</w:t>
            </w:r>
          </w:p>
        </w:tc>
        <w:tc>
          <w:tcPr>
            <w:tcW w:type="dxa" w:w="24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A composição pode variar ao longo do tempo.</w:t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Cadeia de sobreposição</w:t>
            </w:r>
          </w:p>
        </w:tc>
        <w:tc>
          <w:tcPr>
            <w:tcW w:type="dxa" w:w="25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Mede variações com indicadores comuns a anos adjacentes e ancora no índice recente.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Controla mudanças de composição anual.</w:t>
            </w:r>
          </w:p>
        </w:tc>
        <w:tc>
          <w:tcPr>
            <w:tcW w:type="dxa" w:w="24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Resultados antigos dependem do encadeamento e da âncora.</w:t>
            </w:r>
          </w:p>
        </w:tc>
      </w:tr>
      <w:tr>
        <w:tc>
          <w:tcPr>
            <w:tcW w:type="dxa" w:w="194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Núcleo estável</w:t>
            </w:r>
          </w:p>
        </w:tc>
        <w:tc>
          <w:tcPr>
            <w:tcW w:type="dxa" w:w="25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Usa 27 indicadores disponíveis em todos os anos 2004–2023.</w:t>
            </w:r>
          </w:p>
        </w:tc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Comparabilidade temporal máxima.</w:t>
            </w:r>
          </w:p>
        </w:tc>
        <w:tc>
          <w:tcPr>
            <w:tcW w:type="dxa" w:w="244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Representa apenas uma parte do conceito integral do ICE.</w:t>
            </w:r>
          </w:p>
        </w:tc>
      </w:tr>
    </w:tbl>
    <w:p>
      <w:pPr>
        <w:pStyle w:val="Heading1"/>
      </w:pPr>
      <w:r>
        <w:t>7. Robustez e validação</w:t>
      </w:r>
    </w:p>
    <w:p>
      <w:pPr>
        <w:pStyle w:val="Heading2"/>
      </w:pPr>
      <w:r>
        <w:t>7.1 Grelha de 54 especificações</w:t>
      </w:r>
    </w:p>
    <w:p>
      <w:r>
        <w:t>A estimativa principal foi recalculada para 3 mínimos de cobertura geográfica × 3 limiares de peso do pilar × 2 regimes de transporte × 3 mínimos de dimensões. Para cada configuração registaram-se primeiro episódio confirmado, ultrapassagem permanente, anos observáveis e censura à esquerda.</w:t>
      </w:r>
    </w:p>
    <w:p>
      <w:pPr>
        <w:pStyle w:val="Heading2"/>
      </w:pPr>
      <w:r>
        <w:t>7.2 Censura à esquerda</w:t>
      </w:r>
    </w:p>
    <w:p>
      <w:r>
        <w:t>Se um país já surge acima de Portugal no primeiro ano observável de uma especificação, esse ano não é rotulado como ultrapassagem. O resultado é classificado como 'já acima no início observável'. Esta regra evita converter uma limitação do painel numa data falsa.</w:t>
      </w:r>
    </w:p>
    <w:p>
      <w:pPr>
        <w:pStyle w:val="Heading2"/>
      </w:pPr>
      <w:r>
        <w:t>7.3 Validação externa</w:t>
      </w:r>
    </w:p>
    <w:p>
      <w:r>
        <w:t>As séries do European Innovation Scoreboard de 2005, 2007 e 2008 foram usadas como validação externa, nunca como substituto do ICE. A concordância de sinal com a reconstrução controlada foi de 23 em 30 comparações no período 2004–2008, ou 76,7%. Este valor é descritivo: não foi estimado um modelo nulo de concordância por acaso e, por isso, não é apresentado como teste estatístico de validade.</w:t>
      </w:r>
    </w:p>
    <w:p>
      <w:r>
        <w:t>A validação externa é temporalmente desequilibrada. É útil sobretudo para Eslovénia e Chéquia, cujas passagens são precoces. Não existe neste relatório uma série externa independente, conceptualmente equivalente e de metodologia constante que valide diretamente as datas pós-2010 da Estónia, Eslováquia, Polónia e Lituânia. Esta ausência reduz a confiança atribuível a essas datas e é tratada como limitação explícita.</w:t>
      </w:r>
    </w:p>
    <w:p>
      <w:pPr>
        <w:pStyle w:val="Heading2"/>
      </w:pPr>
      <w:r>
        <w:t>7.4 Exclusão sucessiva de dimensões</w:t>
      </w:r>
    </w:p>
    <w:p>
      <w:r>
        <w:t>Nos dois casos mais frágeis foi repetido o cálculo excluindo uma dimensão de cada vez. Na Chéquia, a data permanece concentrada em 2004–2006, incluindo quando Inovação é retirada. Na Eslováquia, o modelo com as nove dimensões aponta para 2014; sem Inovação recua para 2006, enquanto a exclusão de Coesão social ou Competitividade externa a desloca para 2020. Inovação tem, portanto, efeito material e não meramente decorativo.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06440" cy="2632253"/>
            <wp:docPr id="1" name="Picture 1" descr="Gráficos de barras da percentagem das 54 especificações que colocam Chéquia e Eslováquia acima de Portugal, por an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lidacao_cz_s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6322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Figura 1 — Percentagem das 54 especificações que colocam o país acima de Portugal.</w:t>
      </w:r>
    </w:p>
    <w:p>
      <w:pPr>
        <w:pStyle w:val="Heading1"/>
      </w:pPr>
      <w:r>
        <w:t>8. Critério de datação da ultrapassagem</w:t>
      </w:r>
    </w:p>
    <w:p>
      <w:r>
        <w:t>São distinguidos quatro conceitos: primeiro episódio positivo; primeiro par de anos consecutivos acima; primeiro ano permanentemente acima dentro da série observável; e estimativa central final. A estimativa central resulta da triangulação entre composição controlada, cadeia, núcleo estável, sensibilidade e validação externa.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237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Elemento</w:t>
            </w:r>
          </w:p>
        </w:tc>
        <w:tc>
          <w:tcPr>
            <w:tcW w:type="dxa" w:w="6984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Regra operacional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Ano central</w:t>
            </w:r>
          </w:p>
        </w:tc>
        <w:tc>
          <w:tcPr>
            <w:tcW w:type="dxa" w:w="69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Melhor síntese técnica da evidência; não é escolhido automaticamente pelo maior número de modelos.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Intervalo plausível</w:t>
            </w:r>
          </w:p>
        </w:tc>
        <w:tc>
          <w:tcPr>
            <w:tcW w:type="dxa" w:w="69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Amplitude entre métodos e especificações relevantes; não probabilística.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Concordância elevada</w:t>
            </w:r>
          </w:p>
        </w:tc>
        <w:tc>
          <w:tcPr>
            <w:tcW w:type="dxa" w:w="69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≥90% das especificações disponíveis colocam o país acima no ano central.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Concordância intermédia</w:t>
            </w:r>
          </w:p>
        </w:tc>
        <w:tc>
          <w:tcPr>
            <w:tcW w:type="dxa" w:w="69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60%–89,9% das especificações colocam o país acima.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Concordância fraca</w:t>
            </w:r>
          </w:p>
        </w:tc>
        <w:tc>
          <w:tcPr>
            <w:tcW w:type="dxa" w:w="69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&lt;60% das especificações colocam o país acima.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Confiança final</w:t>
            </w:r>
          </w:p>
        </w:tc>
        <w:tc>
          <w:tcPr>
            <w:tcW w:type="dxa" w:w="69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Combina concordância, dispersão das datas permanentes, reversões, leave-one-out e validação externa. É um juízo metodológico explícito, não uma probabilidade.</w:t>
            </w:r>
          </w:p>
        </w:tc>
      </w:tr>
    </w:tbl>
    <w:p>
      <w:r>
        <w:t>A concordância no ano central é condição necessária, mas não suficiente. Por exemplo, a Eslováquia atinge 100% em 2014, mas conserva confiança baixa porque a exclusão de dimensões desloca materialmente a data e o núcleo estável não confirma a passagem. A Chéquia apresenta 62,5% em 2005 e é classificada como média-baixa, apesar da confirmação externa parcial.</w:t>
      </w:r>
    </w:p>
    <w:p>
      <w:pPr>
        <w:pStyle w:val="Heading1"/>
      </w:pPr>
      <w:r>
        <w:t>9. Resultados globais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06440" cy="2941930"/>
            <wp:docPr id="2" name="Picture 2" descr="Gráfico de linhas da diferença anual face a Portugal para Eslovénia, Chéquia, Estónia, Eslováquia, Polónia e Lituâni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jetorias_controlada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41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Figura 2 — Diferença anual face a Portugal na composição controlada.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D9EAF7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Aptos" w:hAnsi="Aptos"/>
                <w:b/>
                <w:color w:val="17365D"/>
              </w:rPr>
              <w:t xml:space="preserve">Cautela 2024–2025  </w:t>
            </w:r>
            <w:r>
              <w:t>A queda da cobertura para 41 indicadores em 2024 e 28 em 2025 torna os pontos finais especialmente sensíveis à composição. Esses movimentos não são usados isoladamente para datar as ultrapassagens.</w:t>
            </w:r>
          </w:p>
        </w:tc>
      </w:tr>
    </w:tbl>
    <w:p>
      <w:pPr>
        <w:spacing w:after="0"/>
      </w:pPr>
    </w:p>
    <w:p>
      <w:r>
        <w:t>Na Eslováquia, esta fragilidade é particularmente visível na Figura 1: a concordância cai para perto de zero em 2024 e regressa a 100% em 2025. A oscilação coincide com a quebra de cobertura e é tratada como artefacto provável de composição, não como prova de uma nova ultrapassagem em 2025.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</w:trPr>
        <w:tc>
          <w:tcPr>
            <w:tcW w:type="dxa" w:w="165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País</w:t>
            </w:r>
          </w:p>
        </w:tc>
        <w:tc>
          <w:tcPr>
            <w:tcW w:type="dxa" w:w="151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Primeiro plausível</w:t>
            </w:r>
          </w:p>
        </w:tc>
        <w:tc>
          <w:tcPr>
            <w:tcW w:type="dxa" w:w="129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Ano central</w:t>
            </w:r>
          </w:p>
        </w:tc>
        <w:tc>
          <w:tcPr>
            <w:tcW w:type="dxa" w:w="151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Último plausível</w:t>
            </w:r>
          </w:p>
        </w:tc>
        <w:tc>
          <w:tcPr>
            <w:tcW w:type="dxa" w:w="151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Concordância</w:t>
            </w:r>
          </w:p>
        </w:tc>
        <w:tc>
          <w:tcPr>
            <w:tcW w:type="dxa" w:w="1584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Confiança</w:t>
            </w:r>
          </w:p>
        </w:tc>
      </w:tr>
      <w:t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Eslovénia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2004</w:t>
            </w:r>
          </w:p>
        </w:tc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2006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2008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100.0%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Média-alta</w:t>
            </w:r>
          </w:p>
        </w:tc>
      </w:tr>
      <w:t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Chéquia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2004</w:t>
            </w:r>
          </w:p>
        </w:tc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2005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2006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62.5%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Média-baixa</w:t>
            </w:r>
          </w:p>
        </w:tc>
      </w:tr>
      <w:t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Estónia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2005</w:t>
            </w:r>
          </w:p>
        </w:tc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2015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2015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100.0%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Média</w:t>
            </w:r>
          </w:p>
        </w:tc>
      </w:tr>
      <w:t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Eslováquia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2008</w:t>
            </w:r>
          </w:p>
        </w:tc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2014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2020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100.0%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Baixa</w:t>
            </w:r>
          </w:p>
        </w:tc>
      </w:tr>
      <w:t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Polónia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2016</w:t>
            </w:r>
          </w:p>
        </w:tc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2018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2021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100.0%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Média</w:t>
            </w:r>
          </w:p>
        </w:tc>
      </w:tr>
      <w:tr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Lituânia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2017</w:t>
            </w:r>
          </w:p>
        </w:tc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2019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2022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50.0%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Baixa</w:t>
            </w:r>
          </w:p>
        </w:tc>
      </w:tr>
    </w:tbl>
    <w:p>
      <w:pPr>
        <w:pStyle w:val="Heading2"/>
      </w:pPr>
      <w:r>
        <w:t>9.1 Ponto de situação integral após PISA 2025</w:t>
      </w:r>
    </w:p>
    <w:p>
      <w:r>
        <w:t>No recálculo integral de setembro, Portugal mantém o 21.º lugar (35,5701 pontos). Eslovénia: 11.º e 55,0243; Chéquia: 12.º e 50,8428; Estónia: 15.º e 44,9089; Polónia: 18.º e 43,6075; Eslováquia: 19.º e 40,7247; Lituânia: 20.º e 38,7788. As distâncias diminuem face aos quatro primeiros e aumentam face aos dois últimos. Estes valores caracterizam o índice integral, não os anos centrais das ultrapassagens.</w:t>
      </w:r>
    </w:p>
    <w:p>
      <w:pPr>
        <w:pStyle w:val="Heading1"/>
      </w:pPr>
      <w:r>
        <w:t>10. Resultados por país</w:t>
      </w:r>
    </w:p>
    <w:p>
      <w:pPr>
        <w:pStyle w:val="Heading2"/>
      </w:pPr>
      <w:r>
        <w:t>10.1 Eslovénia</w:t>
      </w:r>
    </w:p>
    <w:p>
      <w:r>
        <w:t>Com Inovação incluída, a composição controlada já apresenta sinal positivo no início da série e a dimensão acrescenta uma vantagem média relevante. A cadeia e o núcleo estável também colocam o país acima no início observável, pelo que a data precoce é parcialmente censurada.</w:t>
      </w:r>
    </w:p>
    <w:p>
      <w:r>
        <w:t>A estimativa central mantém-se em 2006. O intervalo 2004–2008 cobre a censura inicial. A vantagem é sustentada sobretudo por coesão social, educação e inovação.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5184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Dimensão</w:t>
            </w:r>
          </w:p>
        </w:tc>
        <w:tc>
          <w:tcPr>
            <w:tcW w:type="dxa" w:w="417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Diferença face a PT / estado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Prosperidade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-7.7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Produtividade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15.4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Remuneração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7.9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Educação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60.4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Inovação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17.1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Competitividade externa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14.1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Coesão social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68.0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Instituições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-21.7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Sustentabilidade ambiental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Não elegível no ano central</w:t>
            </w:r>
          </w:p>
        </w:tc>
      </w:tr>
    </w:tbl>
    <w:p>
      <w:r>
        <w:t>Nota: as nove dimensões são sempre apresentadas. 'Não elegível no ano central' significa que a cobertura histórica não satisfaz a regra aplicável; a dimensão não foi substituída nem imputada.</w:t>
      </w:r>
    </w:p>
    <w:p>
      <w:pPr>
        <w:pStyle w:val="Heading2"/>
      </w:pPr>
      <w:r>
        <w:t>10.2 Chéquia</w:t>
      </w:r>
    </w:p>
    <w:p>
      <w:r>
        <w:t>A composição controlada aponta para ultrapassagem permanente em 2005. A exclusão de qualquer dimensão mantém a data em 2004–2006; sem Educação, produz 2006. EIS 2007 e 2008 colocam a Chéquia acima desde 2004; EIS 2005 ainda a coloca abaixo.</w:t>
      </w:r>
    </w:p>
    <w:p>
      <w:r>
        <w:t>A estimativa final é 2005, com intervalo 2004–2006 e confiança média-baixa. No ano central, 62,5% das especificações disponíveis colocam a Chéquia acima; a concordância integral surge em 2006 e recua depois. O núcleo estável só confirma em 2017.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5184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Dimensão</w:t>
            </w:r>
          </w:p>
        </w:tc>
        <w:tc>
          <w:tcPr>
            <w:tcW w:type="dxa" w:w="417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Diferença face a PT / estado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Prosperidade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-11.5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Produtividade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3.8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Remuneração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Não elegível no ano central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Educação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50.4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Inovação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16.8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Competitividade externa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Não elegível no ano central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Coesão social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Não elegível no ano central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Instituições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-12.0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Sustentabilidade ambiental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Não elegível no ano central</w:t>
            </w:r>
          </w:p>
        </w:tc>
      </w:tr>
    </w:tbl>
    <w:p>
      <w:r>
        <w:t>Nota: as nove dimensões são sempre apresentadas. 'Não elegível no ano central' significa que a cobertura histórica não satisfaz a regra aplicável; a dimensão não foi substituída nem imputada.</w:t>
      </w:r>
    </w:p>
    <w:p>
      <w:pPr>
        <w:pStyle w:val="Heading2"/>
      </w:pPr>
      <w:r>
        <w:t>10.3 Estónia</w:t>
      </w:r>
    </w:p>
    <w:p>
      <w:r>
        <w:t>Com Inovação incluída, surgem episódios positivos desde 2005, mas a concordância permanece incompleta até meados da década seguinte. Educação e inovação são os motores mais persistentes; instituições reforçam a vantagem posteriormente.</w:t>
      </w:r>
    </w:p>
    <w:p>
      <w:r>
        <w:t>A estimativa central mantém-se em 2015, com 100% de concordância no ano. A confiança não sobe para média-alta porque os métodos distribuem a passagem entre 2005, 2010 e 2015 e não existe validação externa independente pós-2010. O intervalo assimétrico 2005–2015 é intencional: nenhuma configuração que identifica passagem permanente produz data posterior a 2015.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5184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Dimensão</w:t>
            </w:r>
          </w:p>
        </w:tc>
        <w:tc>
          <w:tcPr>
            <w:tcW w:type="dxa" w:w="417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Diferença face a PT / estado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Prosperidade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-26.9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Produtividade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-7.7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Remuneração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-4.8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Educação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27.5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Inovação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9.4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Competitividade externa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13.5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Coesão social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0.0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Instituições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10.5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Sustentabilidade ambiental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-4.6</w:t>
            </w:r>
          </w:p>
        </w:tc>
      </w:tr>
    </w:tbl>
    <w:p>
      <w:r>
        <w:t>Nota: as nove dimensões são sempre apresentadas. 'Não elegível no ano central' significa que a cobertura histórica não satisfaz a regra aplicável; a dimensão não foi substituída nem imputada.</w:t>
      </w:r>
    </w:p>
    <w:p>
      <w:pPr>
        <w:pStyle w:val="Heading2"/>
      </w:pPr>
      <w:r>
        <w:t>10.4 Eslováquia</w:t>
      </w:r>
    </w:p>
    <w:p>
      <w:r>
        <w:t>As datas têm significados diferentes: 2006 é apenas um episódio positivo marginal e revertido; 2008 é o início inferior do intervalo plausível sustentado; 2014 é a estimativa central e primeiro ano de concordância integral; 2020 é o extremo leave-one-out quando se retira Coesão social ou Competitividade externa. Inovação entra com efeito negativo e, sem ela, a passagem recuaria para 2006.</w:t>
      </w:r>
    </w:p>
    <w:p>
      <w:r>
        <w:t>A estimativa central mantém-se em 2014. A concordância das 54 especificações é 100% nesse ano, mas a confiança continua baixa devido à amplitude 2008–2020, à sensibilidade dimensional e à ausência de validação externa pós-2010.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5184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Dimensão</w:t>
            </w:r>
          </w:p>
        </w:tc>
        <w:tc>
          <w:tcPr>
            <w:tcW w:type="dxa" w:w="417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Diferença face a PT / estado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Prosperidade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-21.2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Produtividade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15.4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Remuneração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-6.7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Educação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3.2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Inovação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-25.1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Competitividade externa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26.9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Coesão social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51.0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Instituições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-30.2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Sustentabilidade ambiental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1.8</w:t>
            </w:r>
          </w:p>
        </w:tc>
      </w:tr>
    </w:tbl>
    <w:p>
      <w:r>
        <w:t>Nota: as nove dimensões são sempre apresentadas. 'Não elegível no ano central' significa que a cobertura histórica não satisfaz a regra aplicável; a dimensão não foi substituída nem imputada.</w:t>
      </w:r>
    </w:p>
    <w:p>
      <w:pPr>
        <w:pStyle w:val="Heading2"/>
      </w:pPr>
      <w:r>
        <w:t>10.5 Polónia</w:t>
      </w:r>
    </w:p>
    <w:p>
      <w:r>
        <w:t>A Polónia apresenta episódios positivos antes da passagem estrutural, incluindo 2010, mas regressa abaixo em 2015–2016. A cadeia aponta para permanência desde 2016; a grelha concentra-se entre 2018 e 2021.</w:t>
      </w:r>
    </w:p>
    <w:p>
      <w:r>
        <w:t>A estimativa central é 2018, com 100% de concordância nesse ano. A confiança permanece média porque 2019 é sensível, o núcleo estável não confirma a passagem até 2023 e não existe validação externa independente pós-2010. Os pontos 2024–2025 não são usados isoladamente devido à quebra de cobertura.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5184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Dimensão</w:t>
            </w:r>
          </w:p>
        </w:tc>
        <w:tc>
          <w:tcPr>
            <w:tcW w:type="dxa" w:w="417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Diferença face a PT / estado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Prosperidade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-13.5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Produtividade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-7.7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Remuneração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13.5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Educação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33.5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Inovação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-23.6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Competitividade externa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13.5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Coesão social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35.6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Instituições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-36.2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Sustentabilidade ambiental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-0.1</w:t>
            </w:r>
          </w:p>
        </w:tc>
      </w:tr>
    </w:tbl>
    <w:p>
      <w:r>
        <w:t>Nota: as nove dimensões são sempre apresentadas. 'Não elegível no ano central' significa que a cobertura histórica não satisfaz a regra aplicável; a dimensão não foi substituída nem imputada.</w:t>
      </w:r>
    </w:p>
    <w:p>
      <w:pPr>
        <w:pStyle w:val="Heading2"/>
      </w:pPr>
      <w:r>
        <w:t>10.6 Lituânia</w:t>
      </w:r>
    </w:p>
    <w:p>
      <w:r>
        <w:t>A cadeia de sobreposição aponta para 2018, o núcleo estável para 2017 e a composição anual principal para 2019. Sem transporte entre ciclos, algumas configurações adiam a confirmação para 2021–2022.</w:t>
      </w:r>
    </w:p>
    <w:p>
      <w:r>
        <w:t>A estimativa central é 2019, mas apenas 50% das especificações colocam a Lituânia acima nesse ano. A confiança é, por isso, revista de média para baixa. Educação é o principal motor; produtividade e prosperidade contribuem na fase de passagem.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5184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Dimensão</w:t>
            </w:r>
          </w:p>
        </w:tc>
        <w:tc>
          <w:tcPr>
            <w:tcW w:type="dxa" w:w="417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Diferença face a PT / estado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Prosperidade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6.7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Produtividade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7.7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Remuneração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7.7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Educação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26.9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Inovação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-6.4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Competitividade externa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-13.5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Coesão social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-18.3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Instituições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6"/>
              </w:rPr>
              <w:t>-8.6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Sustentabilidade ambiental</w:t>
            </w:r>
          </w:p>
        </w:tc>
        <w:tc>
          <w:tcPr>
            <w:tcW w:type="dxa" w:w="41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6"/>
              </w:rPr>
              <w:t>-1.6</w:t>
            </w:r>
          </w:p>
        </w:tc>
      </w:tr>
    </w:tbl>
    <w:p>
      <w:r>
        <w:t>Nota: as nove dimensões são sempre apresentadas. 'Não elegível no ano central' significa que a cobertura histórica não satisfaz a regra aplicável; a dimensão não foi substituída nem imputada.</w:t>
      </w:r>
    </w:p>
    <w:p>
      <w:pPr>
        <w:pStyle w:val="Heading1"/>
      </w:pPr>
      <w:r>
        <w:t>11. Limitações e interpretação</w:t>
      </w:r>
    </w:p>
    <w:p>
      <w:pPr>
        <w:pStyle w:val="ListBullet"/>
      </w:pPr>
      <w:r>
        <w:t>As datas não reproduzem o ICE integral de 61 indicadores em cada ano; reconstituem o máximo comparável do mesmo quadro conceptual.</w:t>
      </w:r>
    </w:p>
    <w:p>
      <w:pPr>
        <w:pStyle w:val="ListBullet"/>
      </w:pPr>
      <w:r>
        <w:t>A composição anual varia, especialmente antes de 2010. A triangulação reduz, mas não elimina, a incerteza de composição.</w:t>
      </w:r>
    </w:p>
    <w:p>
      <w:pPr>
        <w:pStyle w:val="ListBullet"/>
      </w:pPr>
      <w:r>
        <w:t>O transporte entre ciclos mantém valores publicados dentro do ciclo, mas não representa nova medição anual; por isso é sempre identificado e testado em exclusão.</w:t>
      </w:r>
    </w:p>
    <w:p>
      <w:pPr>
        <w:pStyle w:val="ListBullet"/>
      </w:pPr>
      <w:r>
        <w:t>Percentis medem posição relativa. Uma ultrapassagem pode resultar da melhoria do país, da deterioração portuguesa ou de ambas.</w:t>
      </w:r>
    </w:p>
    <w:p>
      <w:pPr>
        <w:pStyle w:val="ListBullet"/>
      </w:pPr>
      <w:r>
        <w:t>Os intervalos são intervalos metodológicos de evidência, não intervalos estatísticos de confiança.</w:t>
      </w:r>
    </w:p>
    <w:p>
      <w:pPr>
        <w:pStyle w:val="ListBullet"/>
      </w:pPr>
      <w:r>
        <w:t>O ano de 2026 designa a edição integral do ICE e não um ano comum de referência dos 61 indicadores.</w:t>
      </w:r>
    </w:p>
    <w:p>
      <w:pPr>
        <w:pStyle w:val="Heading1"/>
      </w:pPr>
      <w:r>
        <w:t>12. Reprodutibilidade e controlos de qualidade</w:t>
      </w:r>
    </w:p>
    <w:p>
      <w:r>
        <w:t>A reprodução exige a matriz de arquitetura dos 61 indicadores, os ficheiros brutos preservados, os scripts de extração e derivação, o painel de observações com proveniência e os três motores de cálculo. Os controlos incluem contagem UE-27, orientação, duplicados país-ano-indicador, limites de transporte, cobertura mínima, elegibilidade de pilares, erro de fórmulas e reconciliação de datas.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3240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Ficheiro lógico</w:t>
            </w:r>
          </w:p>
        </w:tc>
        <w:tc>
          <w:tcPr>
            <w:tcW w:type="dxa" w:w="6120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Função</w:t>
            </w:r>
          </w:p>
        </w:tc>
      </w:tr>
      <w:tr>
        <w:tc>
          <w:tcPr>
            <w:tcW w:type="dxa" w:w="32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Matriz ICE 61×27</w:t>
            </w:r>
          </w:p>
        </w:tc>
        <w:tc>
          <w:tcPr>
            <w:tcW w:type="dxa" w:w="6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Arquitetura, pesos, orientação e resultado integral de 2026.</w:t>
            </w:r>
          </w:p>
        </w:tc>
      </w:tr>
      <w:tr>
        <w:tc>
          <w:tcPr>
            <w:tcW w:type="dxa" w:w="32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Painéis brutos por fonte</w:t>
            </w:r>
          </w:p>
        </w:tc>
        <w:tc>
          <w:tcPr>
            <w:tcW w:type="dxa" w:w="6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Observações oficiais recuperadas e metadados.</w:t>
            </w:r>
          </w:p>
        </w:tc>
      </w:tr>
      <w:tr>
        <w:tc>
          <w:tcPr>
            <w:tcW w:type="dxa" w:w="32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ice_preliminary_controlled.csv</w:t>
            </w:r>
          </w:p>
        </w:tc>
        <w:tc>
          <w:tcPr>
            <w:tcW w:type="dxa" w:w="6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Composição anual controlada.</w:t>
            </w:r>
          </w:p>
        </w:tc>
      </w:tr>
      <w:tr>
        <w:tc>
          <w:tcPr>
            <w:tcW w:type="dxa" w:w="32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ice_stable_core.csv</w:t>
            </w:r>
          </w:p>
        </w:tc>
        <w:tc>
          <w:tcPr>
            <w:tcW w:type="dxa" w:w="6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Núcleo estável 2004–2023.</w:t>
            </w:r>
          </w:p>
        </w:tc>
      </w:tr>
      <w:tr>
        <w:tc>
          <w:tcPr>
            <w:tcW w:type="dxa" w:w="32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ice_overlap_chain.csv</w:t>
            </w:r>
          </w:p>
        </w:tc>
        <w:tc>
          <w:tcPr>
            <w:tcW w:type="dxa" w:w="6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Cadeia de sobreposição 2004–2024.</w:t>
            </w:r>
          </w:p>
        </w:tc>
      </w:tr>
      <w:tr>
        <w:tc>
          <w:tcPr>
            <w:tcW w:type="dxa" w:w="32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robustness_grid_crossings.csv</w:t>
            </w:r>
          </w:p>
        </w:tc>
        <w:tc>
          <w:tcPr>
            <w:tcW w:type="dxa" w:w="6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54 especificações e datas de passagem.</w:t>
            </w:r>
          </w:p>
        </w:tc>
      </w:tr>
      <w:tr>
        <w:tc>
          <w:tcPr>
            <w:tcW w:type="dxa" w:w="32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crossing_*_decomposition.csv</w:t>
            </w:r>
          </w:p>
        </w:tc>
        <w:tc>
          <w:tcPr>
            <w:tcW w:type="dxa" w:w="6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Decomposição por dimensão e indicador.</w:t>
            </w:r>
          </w:p>
        </w:tc>
      </w:tr>
    </w:tbl>
    <w:p>
      <w:pPr>
        <w:pStyle w:val="Heading1"/>
      </w:pPr>
      <w:r>
        <w:t>13. Conclusões</w:t>
      </w:r>
    </w:p>
    <w:p>
      <w:r>
        <w:t>A reconstrução histórica incorpora expressamente as nove dimensões, incluindo Inovação com os indicadores e pilares comparáveis disponíveis, sem inventar dados e sem exigir a existência retrospetiva dos 61 indicadores. A evidência é mais forte para Eslovénia e razoavelmente delimitada para Chéquia, Estónia, Polónia e Lituânia. A Eslováquia permanece o caso mais frágil, devendo a data de 2014 ser sempre acompanhada do intervalo 2008–2020 e da indicação de confiança baixa.</w:t>
      </w:r>
    </w:p>
    <w:p>
      <w:r>
        <w:t>A formulação pública tecnicamente autorizada é: os seis países encontram-se acima de Portugal no ICE integral construído em 2026; a reconstrução do máximo de indicadores historicamente disponíveis e comparáveis estima que as ultrapassagens ocorreram em momentos distintos, com datas centrais e intervalos específicos por país.</w:t>
      </w:r>
    </w:p>
    <w:p>
      <w:r>
        <w:t>O novo ponto de situação integral mantém os seis países acima de Portugal. As datas centrais e os intervalos históricos publicados não foram reestimados nesta atualização; qualquer revisão futura deve identificar a execução do painel e dos testes que a fundamenta.</w:t>
      </w:r>
    </w:p>
    <w:p>
      <w:pPr>
        <w:pStyle w:val="Heading1"/>
      </w:pPr>
      <w:r>
        <w:t>Anexo A — Inventário histórico dos 61 indicadores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93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ID</w:t>
            </w:r>
          </w:p>
        </w:tc>
        <w:tc>
          <w:tcPr>
            <w:tcW w:type="dxa" w:w="367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Fonte/série</w:t>
            </w:r>
          </w:p>
        </w:tc>
        <w:tc>
          <w:tcPr>
            <w:tcW w:type="dxa" w:w="1440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Início auditado</w:t>
            </w:r>
          </w:p>
        </w:tc>
        <w:tc>
          <w:tcPr>
            <w:tcW w:type="dxa" w:w="1440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Fim auditado</w:t>
            </w:r>
          </w:p>
        </w:tc>
        <w:tc>
          <w:tcPr>
            <w:tcW w:type="dxa" w:w="187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4"/>
              </w:rPr>
              <w:t>Periodicidade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ICE-01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prc_ppp_ind_1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1995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ICE-02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tec00113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1995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ICE-03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nama_10_lp_ulc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1995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ICE-04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nama_10_lp_ulc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1995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ICE-05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earn_ses_pub2s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2006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2022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ICE-06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OECD PISA 2022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2006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2022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cycle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ICE-07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tps00065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2004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ICE-08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edat_lfse_04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2000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ICE-09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2002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annual_break_2021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ICE-10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tesem020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2004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ICE-11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2004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annual_break_2021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ICE-12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2021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biennial_new_definition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ICE-13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2013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2022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ICE-14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ICE-15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2022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ICE-16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2013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ICE-17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ICE-18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ICE-19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2009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ICE-20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2022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ICE-21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ICE-22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2022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biennial_definition_changes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ICE-23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2022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biennial_definition_changes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ICE-24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irregular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ICE-25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ICE-26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2022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biennial_definition_changes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ICE-27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2022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biennial_definition_changes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ICE-28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2022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biennial_definition_changes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ICE-29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ICE-30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2020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ICE-31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2022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ICE-32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annual_2yr_average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ICE-33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annual_2yr_average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ICE-34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ICE-35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European Innovation Scoreboard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ICE-36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tessi190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2005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ICE-37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ilc_peps01n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2005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annual_with_break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ICE-38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World Bank WGI, revisão 2025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1996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annual_from_2002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ICE-39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EU Justice Scoreboard 2026, Figura 48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2026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ICE-40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V-Dem Country-Year v16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1789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ICE-41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V-Dem Country-Year v16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1789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ICE-42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World Bank WGI, revisão 2025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1996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annual_from_2002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ICE-43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World Bank WGI, revisão 2025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1996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annual_from_2002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ICE-44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V-Dem Country-Year v16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1789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ICE-45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V-Dem Country-Year v16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1789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ICE-46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eGovernment Benchmark 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2017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ICE-47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V-Dem Country-Year v16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1789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ICE-48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V-Dem Country-Year v16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1789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ICE-49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Dossier QIE UE-27 · ILE atualizado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single_vintage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ICE-50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World Bank WGI, revisão 2025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1996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annual_from_2002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ICE-51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V-Dem Country-Year v16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1789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ICE-52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V-Dem Country-Year v16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1789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ICE-53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V-Dem Country-Year v16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1789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ICE-54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Open Data Maturity 2015–2025 scores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annual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ICE-55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env_ac_aeint_r2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1995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ICE-56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sdg_07_40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2004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2025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ICE-57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sdg_07_30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2000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ICE-58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env_ac_cur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ICE-59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EEA seasonal WEI+ country scale 2000–2023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2000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annual_quarterly</w:t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ICE-60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sdg_15_20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2011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  <w:t>2023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4"/>
              </w:rPr>
            </w:r>
          </w:p>
        </w:tc>
      </w:tr>
      <w:tr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ICE-61</w:t>
            </w:r>
          </w:p>
        </w:tc>
        <w:tc>
          <w:tcPr>
            <w:tcW w:type="dxa" w:w="36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EEA Article 17 2013–2018, habitats_regions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2007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2024</w:t>
            </w:r>
          </w:p>
        </w:tc>
        <w:tc>
          <w:tcPr>
            <w:tcW w:type="dxa" w:w="187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4"/>
              </w:rPr>
              <w:t>six_year_cycle</w:t>
            </w:r>
          </w:p>
        </w:tc>
      </w:tr>
    </w:tbl>
    <w:p>
      <w:r>
        <w:t>Nota de atualização do ICE-06: o inventário acima documenta a extração histórica original (PISA 2022; fim auditado 2022). O Anexo D acrescenta observações PISA 2025 para os 27 países ao índice integral. A distinção evita apresentar o inventário histórico como se tivesse sido novamente executado.</w:t>
      </w:r>
    </w:p>
    <w:p>
      <w:pPr>
        <w:pStyle w:val="Heading1"/>
      </w:pPr>
      <w:r>
        <w:t>Anexo B — Cobertura anual detalhada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115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Ano</w:t>
            </w:r>
          </w:p>
        </w:tc>
        <w:tc>
          <w:tcPr>
            <w:tcW w:type="dxa" w:w="1656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N.º utilizável</w:t>
            </w:r>
          </w:p>
        </w:tc>
        <w:tc>
          <w:tcPr>
            <w:tcW w:type="dxa" w:w="6552"/>
            <w:shd w:fill="17365D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Observação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2004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30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2005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32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2006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37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2007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34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2008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40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2009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43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2010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44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2011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45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2012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45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2013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45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2014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46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2015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46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2016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49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2017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49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2018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51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2019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51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2020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51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2021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50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2022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50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2023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47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2024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41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F6FA"/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  <w:tr>
        <w:tc>
          <w:tcPr>
            <w:tcW w:type="dxa" w:w="11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2025</w:t>
            </w:r>
          </w:p>
        </w:tc>
        <w:tc>
          <w:tcPr>
            <w:tcW w:type="dxa" w:w="16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28</w:t>
            </w:r>
          </w:p>
        </w:tc>
        <w:tc>
          <w:tcPr>
            <w:tcW w:type="dxa" w:w="655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ptos" w:hAnsi="Aptos"/>
                <w:sz w:val="17"/>
              </w:rPr>
              <w:t>Máximo anual comparável; não equivale aos 61 do ICE 2026.</w:t>
            </w:r>
          </w:p>
        </w:tc>
      </w:tr>
    </w:tbl>
    <w:p>
      <w:pPr>
        <w:pStyle w:val="Heading1"/>
      </w:pPr>
      <w:r>
        <w:t>Anexo C — Fontes de validação</w:t>
      </w:r>
    </w:p>
    <w:p>
      <w:pPr>
        <w:pStyle w:val="ListBullet"/>
      </w:pPr>
      <w:r>
        <w:t>European Innovation Scoreboard 2005, Anexo E: SII 2003–2005 recalculado com a metodologia da edição.</w:t>
      </w:r>
    </w:p>
    <w:p>
      <w:pPr>
        <w:pStyle w:val="ListBullet"/>
      </w:pPr>
      <w:r>
        <w:t>European Innovation Scoreboard 2007, Anexo D: série SII 2003–2007 de metodologia constante.</w:t>
      </w:r>
    </w:p>
    <w:p>
      <w:pPr>
        <w:pStyle w:val="ListBullet"/>
      </w:pPr>
      <w:r>
        <w:t>European Innovation Scoreboard 2008, Anexo D: série SII 2004–2008 de metodologia constante.</w:t>
      </w:r>
    </w:p>
    <w:p>
      <w:pPr>
        <w:pStyle w:val="ListBullet"/>
      </w:pPr>
      <w:r>
        <w:t>World Bank, Worldwide Governance Indicators, revisão de 2025.</w:t>
      </w:r>
    </w:p>
    <w:p>
      <w:pPr>
        <w:pStyle w:val="ListBullet"/>
      </w:pPr>
      <w:r>
        <w:t>V-Dem Country-Year Dataset v16.</w:t>
      </w:r>
    </w:p>
    <w:p>
      <w:pPr>
        <w:pStyle w:val="ListBullet"/>
      </w:pPr>
      <w:r>
        <w:t>Eurostat dissemination API e tabelas históricas identificadas no inventário.</w:t>
      </w:r>
    </w:p>
    <w:p>
      <w:pPr>
        <w:pStyle w:val="ListBullet"/>
      </w:pPr>
      <w:r>
        <w:t>OECD PISA e OECD Data Explorer para a ponte histórica do Gini.</w:t>
      </w:r>
    </w:p>
    <w:p>
      <w:pPr>
        <w:pStyle w:val="ListBullet"/>
      </w:pPr>
      <w:r>
        <w:t>European Environment Agency para WEI+ e Article 17 habitats.</w:t>
      </w:r>
    </w:p>
    <w:p>
      <w:r>
        <w:br w:type="page"/>
      </w:r>
    </w:p>
    <w:p>
      <w:pPr>
        <w:pStyle w:val="Heading1"/>
      </w:pPr>
      <w:r>
        <w:t>Anexo D — Atualização do índice integral com PISA 2025</w:t>
      </w:r>
    </w:p>
    <w:p>
      <w:r>
        <w:t>Atualização estatística de 8 de setembro de 2026 · ICE-06 · período de referência: 2025.</w:t>
      </w:r>
    </w:p>
    <w:p>
      <w:r>
        <w:t>O indicador é a média aritmética das pontuações de ciências, leitura e matemática. Foram atualizados os 27 países em simultâneo, mantendo os restantes 60 indicadores da matriz v3.0. O peso do ICE-06 é 1/3 da Educação e 1/27 do ICE global. A transformação é N = 100 × (27 − r)/26, em que r é a posição decrescente média nos empates; Educação nova = Educação anterior + (N novo − N anterior)/3; ICE novo = ICE anterior + (N novo − N anterior)/27.</w:t>
      </w:r>
    </w:p>
    <w:p>
      <w:r>
        <w:t>Os resultados usam as pontuações por área arredondadas a inteiros publicadas pela OCDE, em continuidade com a precisão da matriz de base. Empates são tratados por posição média. O Luxemburgo passa da imputação PISA 2022 por medianas UE-26 para observações de 2025. A confiança é elevada na reprodução aritmética nesta precisão; a ordenação das estimativas pontuais não demonstra significância estatística das diferenças entre países. A OCDE assinala cautela amostral para os Países Baixos.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00" w:type="dxa"/>
      </w:tblPr>
      <w:tblGrid>
        <w:gridCol w:w="2200"/>
        <w:gridCol w:w="1300"/>
        <w:gridCol w:w="1300"/>
        <w:gridCol w:w="1450"/>
        <w:gridCol w:w="1300"/>
        <w:gridCol w:w="1810"/>
      </w:tblGrid>
      <w:tr>
        <w:trPr>
          <w:cantSplit/>
          <w:tblHeader/>
        </w:trPr>
        <w:tc>
          <w:tcPr>
            <w:tcW w:type="dxa" w:w="22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País</w:t>
            </w:r>
          </w:p>
        </w:tc>
        <w:tc>
          <w:tcPr>
            <w:tcW w:type="dxa" w:w="13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Ciências</w:t>
            </w:r>
          </w:p>
        </w:tc>
        <w:tc>
          <w:tcPr>
            <w:tcW w:type="dxa" w:w="13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Leitura</w:t>
            </w:r>
          </w:p>
        </w:tc>
        <w:tc>
          <w:tcPr>
            <w:tcW w:type="dxa" w:w="145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Matemática</w:t>
            </w:r>
          </w:p>
        </w:tc>
        <w:tc>
          <w:tcPr>
            <w:tcW w:type="dxa" w:w="13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Média</w:t>
            </w:r>
          </w:p>
        </w:tc>
        <w:tc>
          <w:tcPr>
            <w:tcW w:type="dxa" w:w="181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Posição ICE-06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Áustria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467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480,33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Bélgica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466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478,67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6,0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Bulgária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421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387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405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404,33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26,0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Chipre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411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379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412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400,67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27,0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Chéquia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468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478,33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7,0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Alemanha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486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465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471,67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10,5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Dinamarca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460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471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469,67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12,5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Estónia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527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499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508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511,33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Grécia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423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427,00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24,0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Espanha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451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461,67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19,0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Finlândia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504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474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482,33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França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483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456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465,67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15,0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Croácia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476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453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461,33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20,0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Hungria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452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463,67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17,0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Irlanda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500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500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493,33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Itália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483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474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475,00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8,0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Lituânia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464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474,00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9,0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Luxemburgo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443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458,33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21,0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Letónia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468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430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452,67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22,0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Malta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453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415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435,67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23,0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Países Baixos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441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483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469,67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12,5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Polónia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495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482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487,00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Portugal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482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462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468,00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14,0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Roménia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413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419,00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25,0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Suécia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466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471,67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10,5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Eslovénia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484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445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460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463,00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18,0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Eslováquia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475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448</w:t>
            </w:r>
          </w:p>
        </w:tc>
        <w:tc>
          <w:tcPr>
            <w:tcW w:type="dxa" w:w="145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464,00</w:t>
            </w:r>
          </w:p>
        </w:tc>
        <w:tc>
          <w:tcPr>
            <w:tcW w:type="dxa" w:w="181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16,0</w:t>
            </w:r>
          </w:p>
        </w:tc>
      </w:tr>
    </w:tbl>
    <w:p>
      <w:r>
        <w:t xml:space="preserve">Fonte: </w:t>
      </w:r>
      <w:hyperlink r:id="rId13">
        <w:r>
          <w:rPr>
            <w:color w:val="176C83"/>
          </w:rPr>
          <w:t>OCDE, PISA 2025 Results (Volume I), quadro I.1, pp. 28–29; divulgação em 8 de setembro de 2026.</w:t>
        </w:r>
      </w:hyperlink>
    </w:p>
    <w:p>
      <w:r>
        <w:t>Base de confronto: matriz_auditavel_61_indicadores_ICE_v3_0 (1).xlsx, 61 × 27, proveniência de 8 de agosto de 2026. O resultado anterior foi reproduzido para os 27 países a partir dos valores brutos, orientação e pesos. Esta atualização não utiliza a base distinta de julho publicada no site.</w:t>
      </w:r>
    </w:p>
    <w:p>
      <w:pPr>
        <w:pStyle w:val="Heading2"/>
      </w:pPr>
      <w:r>
        <w:t>Efeito em Portugal e nos seis países acompanhados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00" w:type="dxa"/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Medida — Portugal</w:t>
            </w:r>
          </w:p>
        </w:tc>
        <w:tc>
          <w:tcPr>
            <w:tcW w:type="dxa" w:w="234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Anterior</w:t>
            </w:r>
          </w:p>
        </w:tc>
        <w:tc>
          <w:tcPr>
            <w:tcW w:type="dxa" w:w="234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Atualizado</w:t>
            </w:r>
          </w:p>
        </w:tc>
        <w:tc>
          <w:tcPr>
            <w:tcW w:type="dxa" w:w="234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Variação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Média PISA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477,67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468,00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−9,67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Posição no ICE-06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16.º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14.º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+2 lugares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Educação (0–100)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42,0940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44,6581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+2,5641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Posição Educação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17.º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15.º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+2 lugares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ICE global (0–100)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35,2852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35,5701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+0,2849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Posição global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21.º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21.º</w:t>
            </w:r>
          </w:p>
        </w:tc>
        <w:tc>
          <w:tcPr>
            <w:tcW w:type="dxa" w:w="234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Sem alteração</w:t>
            </w:r>
          </w:p>
        </w:tc>
      </w:tr>
    </w:tbl>
    <w:p>
      <w:r>
        <w:t>A queda absoluta portuguesa na média PISA coincide com uma melhoria ordinal, porque vários países recuam mais. Portugal aproxima-se da Eslovénia, Chéquia, Estónia e Polónia no ICE global; a vantagem da Eslováquia e da Lituânia aumenta. Os seis países continuam acima de Portugal e mantêm as suas posições globais.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00" w:type="dxa"/>
      </w:tblPr>
      <w:tblGrid>
        <w:gridCol w:w="1800"/>
        <w:gridCol w:w="1300"/>
        <w:gridCol w:w="1300"/>
        <w:gridCol w:w="900"/>
        <w:gridCol w:w="1800"/>
        <w:gridCol w:w="2260"/>
      </w:tblGrid>
      <w:tr>
        <w:trPr>
          <w:cantSplit/>
          <w:tblHeader/>
        </w:trPr>
        <w:tc>
          <w:tcPr>
            <w:tcW w:type="dxa" w:w="18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País</w:t>
            </w:r>
          </w:p>
        </w:tc>
        <w:tc>
          <w:tcPr>
            <w:tcW w:type="dxa" w:w="13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ICE anterior</w:t>
            </w:r>
          </w:p>
        </w:tc>
        <w:tc>
          <w:tcPr>
            <w:tcW w:type="dxa" w:w="13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ICE atualizado</w:t>
            </w:r>
          </w:p>
        </w:tc>
        <w:tc>
          <w:tcPr>
            <w:tcW w:type="dxa" w:w="9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Lugar</w:t>
            </w:r>
          </w:p>
        </w:tc>
        <w:tc>
          <w:tcPr>
            <w:tcW w:type="dxa" w:w="180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Vantagem anterior sobre PT</w:t>
            </w:r>
          </w:p>
        </w:tc>
        <w:tc>
          <w:tcPr>
            <w:tcW w:type="dxa" w:w="2260"/>
            <w:shd w:fill="E8F0F4"/>
          </w:tcPr>
          <w:p>
            <w:pPr>
              <w:spacing w:after="20" w:before="20"/>
            </w:pPr>
            <w:r>
              <w:rPr>
                <w:b/>
                <w:sz w:val="17"/>
              </w:rPr>
              <w:t>Vantagem atual sobre PT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Eslovénia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56,1639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55,0243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11.º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20,8787</w:t>
            </w:r>
          </w:p>
        </w:tc>
        <w:tc>
          <w:tcPr>
            <w:tcW w:type="dxa" w:w="226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19,4542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Chéquia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51,1277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50,8428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12.º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15,8425</w:t>
            </w:r>
          </w:p>
        </w:tc>
        <w:tc>
          <w:tcPr>
            <w:tcW w:type="dxa" w:w="226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15,2727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Estónia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44,9089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44,9089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15.º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9,6237</w:t>
            </w:r>
          </w:p>
        </w:tc>
        <w:tc>
          <w:tcPr>
            <w:tcW w:type="dxa" w:w="226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9,3388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Eslováquia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39,7276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40,7247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19.º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4,4424</w:t>
            </w:r>
          </w:p>
        </w:tc>
        <w:tc>
          <w:tcPr>
            <w:tcW w:type="dxa" w:w="226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5,1546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Polónia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43,4651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43,6075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18.º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8,1799</w:t>
            </w:r>
          </w:p>
        </w:tc>
        <w:tc>
          <w:tcPr>
            <w:tcW w:type="dxa" w:w="226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8,0375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Lituânia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37,3543</w:t>
            </w:r>
          </w:p>
        </w:tc>
        <w:tc>
          <w:tcPr>
            <w:tcW w:type="dxa" w:w="13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38,7788</w:t>
            </w:r>
          </w:p>
        </w:tc>
        <w:tc>
          <w:tcPr>
            <w:tcW w:type="dxa" w:w="9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20.º</w:t>
            </w:r>
          </w:p>
        </w:tc>
        <w:tc>
          <w:tcPr>
            <w:tcW w:type="dxa" w:w="180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2,0691</w:t>
            </w:r>
          </w:p>
        </w:tc>
        <w:tc>
          <w:tcPr>
            <w:tcW w:type="dxa" w:w="2260"/>
          </w:tcPr>
          <w:p>
            <w:pPr>
              <w:spacing w:after="20" w:before="20"/>
            </w:pPr>
            <w:r>
              <w:rPr>
                <w:b w:val="0"/>
                <w:sz w:val="17"/>
              </w:rPr>
              <w:t>3,2087</w:t>
            </w:r>
          </w:p>
        </w:tc>
      </w:tr>
    </w:tbl>
    <w:p>
      <w:r>
        <w:t>A atualização do ICE integral não reestima automaticamente as datas históricas de ultrapassagem. Os painéis, regras de cobertura, transporte e testes históricos exigem reprodução própria antes de alterar essas datas. Os resultados presentes também não constituem uma atualização automática do site ou do livro de cálculo original.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440" w:bottom="1152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Associação Democracia Plena · Relatório técnico e metodológico · Versão 1.1 · Setembro de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666666"/>
        <w:sz w:val="16"/>
      </w:rPr>
      <w:t>ÍNDICE DE CONVERGÊNCIA ESTRUTURAL · RECONSTRUÇÃO HISTÓRICA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2F559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17365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ptos" w:hAnsi="Aptos"/>
      <w:b w:val="0"/>
      <w:i/>
      <w:iCs/>
      <w:color w:val="66666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720" w:hanging="3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oecd.org/content/dam/oecd/en/publications/reports/2026/09/pisa-2025-results-volume-i_5265bfb1/73451bc5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Reconstrução histórica do Índice de Convergência Estrutural</dc:title>
  <dc:subject>Relatório técnico e metodológico — UE-27, 2004–2026</dc:subject>
  <dc:creator>Associação Democracia Plena</dc:creator>
  <cp:keywords/>
  <dc:description>PISA 2025 no índice integral; painel e datas históricas da edição anterior preservados e identificados.</dc:description>
  <cp:lastModifiedBy/>
  <cp:revision>1</cp:revision>
  <dcterms:created xsi:type="dcterms:W3CDTF">2013-12-23T23:15:00Z</dcterms:created>
  <dcterms:modified xsi:type="dcterms:W3CDTF">2013-12-23T23:15:00Z</dcterms:modified>
  <cp:category/>
  <cp:version>1.1</cp:version>
</cp:coreProperties>
</file>