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3F1A4" w14:textId="77777777" w:rsidR="00985054" w:rsidRPr="00984171" w:rsidRDefault="00000000">
      <w:pPr>
        <w:spacing w:before="1520" w:after="360"/>
        <w:jc w:val="center"/>
        <w:rPr>
          <w:lang w:val="pt-PT"/>
        </w:rPr>
      </w:pPr>
      <w:r>
        <w:t>DOSSIER METODOLÓGICO</w:t>
      </w:r>
    </w:p>
    <w:p w14:paraId="4B5A03DC" w14:textId="77777777" w:rsidR="00985054" w:rsidRPr="00984171" w:rsidRDefault="00000000">
      <w:pPr>
        <w:spacing w:after="240" w:line="240" w:lineRule="auto"/>
        <w:jc w:val="center"/>
        <w:rPr>
          <w:lang w:val="pt-PT"/>
        </w:rPr>
      </w:pPr>
      <w:r>
        <w:t>Índice de Convergência</w:t>
        <w:br/>
        <w:t>Estrutural da UE-27</w:t>
      </w:r>
    </w:p>
    <w:p w14:paraId="5752DC52" w14:textId="77777777" w:rsidR="00985054" w:rsidRPr="00984171" w:rsidRDefault="00000000">
      <w:pPr>
        <w:spacing w:after="760" w:line="288" w:lineRule="auto"/>
        <w:jc w:val="center"/>
        <w:rPr>
          <w:lang w:val="pt-PT"/>
        </w:rPr>
      </w:pPr>
      <w:r>
        <w:t>Fundamentação integral das nove dimensões, indicadores, fontes, método de agregação e robustez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12999B22" w14:textId="77777777">
        <w:trPr>
          <w:tblHeader/>
          <w:jc w:val="center"/>
        </w:trPr>
        <w:tc>
          <w:tcPr>
            <w:tcW w:w="9288" w:type="dxa"/>
            <w:shd w:val="clear" w:color="auto" w:fill="FAF4E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VERSÃO 3.2 · ATUALIZAÇÃO ESTATÍSTICA DE OUTUBRO</w:t>
              <w:br/>
              <w:t>Metodologia v3.0 preservada: nove dimensões, 61 indicadores e UE-27. PISA 2025, Eurostat e WGI 2026 incorporados para a UE-27.</w:t>
            </w:r>
          </w:p>
        </w:tc>
      </w:tr>
    </w:tbl>
    <w:p w14:paraId="29E11DC0" w14:textId="77777777" w:rsidR="00985054" w:rsidRPr="00984171" w:rsidRDefault="00985054">
      <w:pPr>
        <w:spacing w:after="40"/>
        <w:rPr>
          <w:lang w:val="pt-PT"/>
        </w:rPr>
      </w:pPr>
    </w:p>
    <w:p w14:paraId="3C3F23A5" w14:textId="77777777" w:rsidR="00985054" w:rsidRPr="00984171" w:rsidRDefault="00000000">
      <w:pPr>
        <w:spacing w:before="880" w:after="0"/>
        <w:jc w:val="center"/>
        <w:rPr>
          <w:lang w:val="pt-PT"/>
        </w:rPr>
      </w:pPr>
      <w:r>
        <w:t>Associação Democracia Plena · Lisboa · atualização de 8 de outubro de 2026</w:t>
      </w:r>
    </w:p>
    <w:p w14:paraId="5D474310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11E499A7" w14:textId="77777777" w:rsidR="00985054" w:rsidRDefault="00000000">
      <w:pPr>
        <w:pStyle w:val="Ttulo1"/>
      </w:pPr>
      <w:r>
        <w:t>Ficha de controlo documental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7056"/>
      </w:tblGrid>
      <w:tr w:rsidR="00985054" w14:paraId="48E82CF9" w14:textId="77777777">
        <w:trPr>
          <w:tblHeader/>
          <w:jc w:val="center"/>
        </w:trPr>
        <w:tc>
          <w:tcPr>
            <w:tcW w:w="2232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E7512C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Campo</w:t>
            </w:r>
          </w:p>
        </w:tc>
        <w:tc>
          <w:tcPr>
            <w:tcW w:w="7056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21ACA0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Conteúdo</w:t>
            </w:r>
          </w:p>
        </w:tc>
      </w:tr>
      <w:tr w:rsidR="00985054" w:rsidRPr="00796AB2" w14:paraId="398E74BC" w14:textId="77777777">
        <w:trPr>
          <w:jc w:val="center"/>
        </w:trPr>
        <w:tc>
          <w:tcPr>
            <w:tcW w:w="223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1224CD" w14:textId="77777777" w:rsidR="00985054" w:rsidRDefault="00000000">
            <w:pPr>
              <w:spacing w:after="0" w:line="252" w:lineRule="auto"/>
            </w:pPr>
            <w:r>
              <w:t>Objeto</w:t>
            </w:r>
          </w:p>
        </w:tc>
        <w:tc>
          <w:tcPr>
            <w:tcW w:w="70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1A85DE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Ranking multidimensional da posição estrutural dos 27 Estados-Membros da União Europeia</w:t>
            </w:r>
          </w:p>
        </w:tc>
      </w:tr>
      <w:tr w:rsidR="00985054" w14:paraId="63F3FF3C" w14:textId="77777777">
        <w:trPr>
          <w:jc w:val="center"/>
        </w:trPr>
        <w:tc>
          <w:tcPr>
            <w:tcW w:w="223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211708" w14:textId="77777777" w:rsidR="00985054" w:rsidRDefault="00000000">
            <w:pPr>
              <w:spacing w:after="0" w:line="252" w:lineRule="auto"/>
            </w:pPr>
            <w:r>
              <w:t>Unidade de análise</w:t>
            </w:r>
          </w:p>
        </w:tc>
        <w:tc>
          <w:tcPr>
            <w:tcW w:w="705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7D535D" w14:textId="77777777" w:rsidR="00985054" w:rsidRDefault="00000000">
            <w:pPr>
              <w:spacing w:after="0" w:line="252" w:lineRule="auto"/>
            </w:pPr>
            <w:r>
              <w:t>Estado-Membro da UE-27</w:t>
            </w:r>
          </w:p>
        </w:tc>
      </w:tr>
      <w:tr w:rsidR="00985054" w:rsidRPr="00796AB2" w14:paraId="117BDA0D" w14:textId="77777777">
        <w:trPr>
          <w:jc w:val="center"/>
        </w:trPr>
        <w:tc>
          <w:tcPr>
            <w:tcW w:w="223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9382BB" w14:textId="77777777" w:rsidR="00985054" w:rsidRDefault="00000000">
            <w:pPr>
              <w:spacing w:after="0" w:line="252" w:lineRule="auto"/>
            </w:pPr>
            <w:r>
              <w:t>Modelo principal</w:t>
            </w:r>
          </w:p>
        </w:tc>
        <w:tc>
          <w:tcPr>
            <w:tcW w:w="70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Nove dimensões da matriz 61 × 27; AIC e rendimento disponível ajustado na Prosperidade; EIS 1.x–3.x na Inovação; nove pesos iguais</w:t>
            </w:r>
          </w:p>
        </w:tc>
      </w:tr>
      <w:tr w:rsidR="00985054" w:rsidRPr="00796AB2" w14:paraId="76E26BCD" w14:textId="77777777">
        <w:trPr>
          <w:jc w:val="center"/>
        </w:trPr>
        <w:tc>
          <w:tcPr>
            <w:tcW w:w="223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68CEAE" w14:textId="77777777" w:rsidR="00985054" w:rsidRDefault="00000000">
            <w:pPr>
              <w:spacing w:after="0" w:line="252" w:lineRule="auto"/>
            </w:pPr>
            <w:r>
              <w:t>Posição global auditada</w:t>
            </w:r>
          </w:p>
        </w:tc>
        <w:tc>
          <w:tcPr>
            <w:tcW w:w="705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CDDE9F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Portugal: 21.º</w:t>
            </w:r>
          </w:p>
        </w:tc>
      </w:tr>
      <w:tr w:rsidR="00985054" w:rsidRPr="00796AB2" w14:paraId="1FB012C1" w14:textId="77777777">
        <w:trPr>
          <w:jc w:val="center"/>
        </w:trPr>
        <w:tc>
          <w:tcPr>
            <w:tcW w:w="223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4E82FE" w14:textId="77777777" w:rsidR="00985054" w:rsidRDefault="00000000">
            <w:pPr>
              <w:spacing w:after="0" w:line="252" w:lineRule="auto"/>
            </w:pPr>
            <w:r>
              <w:t>Índice final de Portugal</w:t>
            </w:r>
          </w:p>
        </w:tc>
        <w:tc>
          <w:tcPr>
            <w:tcW w:w="70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35,7197 pontos em 100</w:t>
            </w:r>
          </w:p>
        </w:tc>
      </w:tr>
      <w:tr w:rsidR="00985054" w14:paraId="3578215B" w14:textId="77777777">
        <w:trPr>
          <w:jc w:val="center"/>
        </w:trPr>
        <w:tc>
          <w:tcPr>
            <w:tcW w:w="223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C4BE8" w14:textId="77777777" w:rsidR="00985054" w:rsidRDefault="00000000">
            <w:pPr>
              <w:spacing w:after="0" w:line="252" w:lineRule="auto"/>
            </w:pPr>
            <w:r>
              <w:t>Leave-one-out das dimensões</w:t>
            </w:r>
          </w:p>
        </w:tc>
        <w:tc>
          <w:tcPr>
            <w:tcW w:w="705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88DC4B" w14:textId="77777777" w:rsidR="00985054" w:rsidRDefault="00000000">
            <w:pPr>
              <w:spacing w:after="0" w:line="252" w:lineRule="auto"/>
            </w:pPr>
            <w:r>
              <w:t>20.º–21.º</w:t>
            </w:r>
          </w:p>
        </w:tc>
      </w:tr>
      <w:tr w:rsidR="00985054" w:rsidRPr="00796AB2" w14:paraId="59C576D6" w14:textId="77777777">
        <w:trPr>
          <w:jc w:val="center"/>
        </w:trPr>
        <w:tc>
          <w:tcPr>
            <w:tcW w:w="223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A4807D" w14:textId="77777777" w:rsidR="00985054" w:rsidRDefault="00000000">
            <w:pPr>
              <w:spacing w:after="0" w:line="252" w:lineRule="auto"/>
            </w:pPr>
            <w:r>
              <w:t>Simulações de ponderação</w:t>
            </w:r>
          </w:p>
        </w:tc>
        <w:tc>
          <w:tcPr>
            <w:tcW w:w="70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E232D9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100 000 por cenário: Dirichlet α=4 e α=1</w:t>
            </w:r>
          </w:p>
        </w:tc>
      </w:tr>
      <w:tr w:rsidR="00985054" w:rsidRPr="00796AB2" w14:paraId="0EA0B6B4" w14:textId="77777777">
        <w:trPr>
          <w:jc w:val="center"/>
        </w:trPr>
        <w:tc>
          <w:tcPr>
            <w:tcW w:w="223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6CDEF1" w14:textId="77777777" w:rsidR="00985054" w:rsidRDefault="00000000">
            <w:pPr>
              <w:spacing w:after="0" w:line="252" w:lineRule="auto"/>
            </w:pPr>
            <w:r>
              <w:t>Situação institucional final</w:t>
            </w:r>
          </w:p>
        </w:tc>
        <w:tc>
          <w:tcPr>
            <w:tcW w:w="705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B165F1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Portugal: 16.º; 45,7772 pontos; biografias excluídas</w:t>
            </w:r>
          </w:p>
        </w:tc>
      </w:tr>
      <w:tr w:rsidR="00985054" w:rsidRPr="00796AB2" w14:paraId="6FC7500F" w14:textId="77777777">
        <w:trPr>
          <w:jc w:val="center"/>
        </w:trPr>
        <w:tc>
          <w:tcPr>
            <w:tcW w:w="223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8DDD73" w14:textId="77777777" w:rsidR="00985054" w:rsidRDefault="00000000">
            <w:pPr>
              <w:spacing w:after="0" w:line="252" w:lineRule="auto"/>
            </w:pPr>
            <w:r>
              <w:t>Estado do relatório</w:t>
            </w:r>
          </w:p>
        </w:tc>
        <w:tc>
          <w:tcPr>
            <w:tcW w:w="70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75583F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1 647 registos; sete imputações. Base de 8 de agosto atualizada com PISA 2025, Eurostat de 7 de outubro e WGI 2026. Metodologia preservada.</w:t>
            </w:r>
          </w:p>
        </w:tc>
      </w:tr>
    </w:tbl>
    <w:p w14:paraId="4C575439" w14:textId="77777777" w:rsidR="00985054" w:rsidRPr="00984171" w:rsidRDefault="00000000">
      <w:pPr>
        <w:pStyle w:val="Ttulo2"/>
        <w:rPr>
          <w:lang w:val="pt-PT"/>
        </w:rPr>
      </w:pPr>
      <w:r>
        <w:t>Regra de integridade</w:t>
      </w:r>
    </w:p>
    <w:p w14:paraId="4D46E373" w14:textId="77777777" w:rsidR="00985054" w:rsidRPr="00984171" w:rsidRDefault="00000000">
      <w:pPr>
        <w:rPr>
          <w:lang w:val="pt-PT"/>
        </w:rPr>
      </w:pPr>
      <w:r>
        <w:t>Uma revisão só entra no índice quando estiver disponível para os 27 países, com fonte, ano, orientação, transformação e efeito no resultado integralmente documentados.</w:t>
      </w:r>
    </w:p>
    <w:p w14:paraId="33909D54" w14:textId="77777777" w:rsidR="00985054" w:rsidRPr="00984171" w:rsidRDefault="00000000">
      <w:pPr>
        <w:pStyle w:val="Ttulo1"/>
        <w:rPr>
          <w:lang w:val="pt-PT"/>
        </w:rPr>
      </w:pPr>
      <w:r>
        <w:t>Sumário executivo</w:t>
      </w:r>
    </w:p>
    <w:p w14:paraId="4DF05E3B" w14:textId="77777777" w:rsidR="00985054" w:rsidRPr="00984171" w:rsidRDefault="00000000">
      <w:pPr>
        <w:rPr>
          <w:lang w:val="pt-PT"/>
        </w:rPr>
      </w:pPr>
      <w:r>
        <w:t>O índice foi concebido para testar a proposição política segundo a qual Portugal permanece na cauda estrutural da União Europeia. “Cauda” é definida operacionalmente como o terço inferior da UE-27. A avaliação não pretende medir uma essência nacional nem produzir uma classificação absoluta: compara a capacidade relativa dos países para transformar instituições, conhecimento e talento em produtividade, remuneração, prosperidade e coesão.</w:t>
      </w:r>
    </w:p>
    <w:p w14:paraId="195BD88D" w14:textId="77777777" w:rsidR="00234724" w:rsidRPr="00796AB2" w:rsidRDefault="00000000">
      <w:pPr>
        <w:rPr>
          <w:lang w:val="pt-PT"/>
        </w:rPr>
      </w:pPr>
      <w:r>
        <w:t>O índice integra nove dimensões de igual estatuto. Na especificação metodológica consolidada de 2026, Portugal obtém 35,7197 pontos e ocupa o 21.º lugar global. Na sustentabilidade ambiental obtém 50,0000 pontos e ocupa o 12.º lugar.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5AC648FA" w14:textId="77777777">
        <w:trPr>
          <w:tblHeader/>
          <w:jc w:val="center"/>
        </w:trPr>
        <w:tc>
          <w:tcPr>
            <w:tcW w:w="9288" w:type="dxa"/>
            <w:shd w:val="clear" w:color="auto" w:fill="F9EC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RESULTADO PRINCIPAL</w:t>
              <w:br/>
              <w:t>No ICE 2026, Portugal obtém 35,7197 pontos e ocupa o 21.º lugar. Nos nove testes leave-one-out varia apenas entre o 20.º e o 21.º lugares. A matriz integral contém 1 647 registos e permite reconstruir os resultados a partir dos dados atómicos.</w:t>
            </w:r>
          </w:p>
        </w:tc>
      </w:tr>
    </w:tbl>
    <w:p>
      <w:r>
        <w:t>PISA 2025, revisões anuais Eurostat e WGI 2026 incorporados para a UE-27. Remuneração: 19,2308 pontos; Instituições: 45,7772. A metodologia v3.0 mantém-se. Os Anexos C e D documentam as atualizações.</w:t>
      </w:r>
    </w:p>
    <w:p w14:paraId="03EA7391" w14:textId="77777777" w:rsidR="00985054" w:rsidRPr="00984171" w:rsidRDefault="00985054">
      <w:pPr>
        <w:spacing w:after="40"/>
        <w:rPr>
          <w:lang w:val="pt-PT"/>
        </w:rPr>
      </w:pPr>
    </w:p>
    <w:p w14:paraId="546045DC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0C64EE01" w14:textId="77777777" w:rsidR="00985054" w:rsidRDefault="00000000">
      <w:pPr>
        <w:pStyle w:val="Ttulo1"/>
      </w:pPr>
      <w:r>
        <w:t>Quadro síntese das nove dimensões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384"/>
        <w:gridCol w:w="1080"/>
        <w:gridCol w:w="1080"/>
        <w:gridCol w:w="3744"/>
      </w:tblGrid>
      <w:tr w:rsidR="00985054" w14:paraId="7CBE4B7F" w14:textId="77777777">
        <w:trPr>
          <w:tblHeader/>
          <w:jc w:val="center"/>
        </w:trPr>
        <w:tc>
          <w:tcPr>
            <w:tcW w:w="338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B511E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Dimensão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339A95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Posição PT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BDFFD2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Pontuação</w:t>
            </w:r>
          </w:p>
        </w:tc>
        <w:tc>
          <w:tcPr>
            <w:tcW w:w="374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0C163F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Decisão</w:t>
            </w:r>
          </w:p>
        </w:tc>
      </w:tr>
      <w:tr w:rsidR="00985054" w:rsidRPr="00796AB2" w14:paraId="396DDCF1" w14:textId="77777777">
        <w:trPr>
          <w:jc w:val="center"/>
        </w:trPr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Prosperidade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16.º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38,4615</w:t>
            </w:r>
          </w:p>
        </w:tc>
        <w:tc>
          <w:tcPr>
            <w:tcW w:w="37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AIC e rendimento disponível ajustado; pesos iguais.</w:t>
            </w:r>
          </w:p>
        </w:tc>
      </w:tr>
      <w:tr w:rsidR="00985054" w:rsidRPr="00796AB2" w14:paraId="0CF07027" w14:textId="77777777">
        <w:trPr>
          <w:jc w:val="center"/>
        </w:trPr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Produtividade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24.º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11,5385</w:t>
            </w:r>
          </w:p>
        </w:tc>
        <w:tc>
          <w:tcPr>
            <w:tcW w:w="37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Produtividade por hora em PPC trabalhada; matriz 61 × 27.</w:t>
            </w:r>
          </w:p>
        </w:tc>
      </w:tr>
      <w:tr w:rsidR="00985054" w:rsidRPr="00796AB2" w14:paraId="13BD7D9F" w14:textId="77777777">
        <w:trPr>
          <w:jc w:val="center"/>
        </w:trPr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Remuneração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22.º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19,2308</w:t>
            </w:r>
          </w:p>
        </w:tc>
        <w:tc>
          <w:tcPr>
            <w:tcW w:w="37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Compensação por empregado e remuneração horária mediana em PPC.</w:t>
            </w:r>
          </w:p>
        </w:tc>
      </w:tr>
      <w:tr w:rsidR="00985054" w:rsidRPr="00796AB2" w14:paraId="3C3F8A92" w14:textId="77777777">
        <w:trPr>
          <w:jc w:val="center"/>
        </w:trPr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Educação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15.º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44,6581</w:t>
            </w:r>
          </w:p>
        </w:tc>
        <w:tc>
          <w:tcPr>
            <w:tcW w:w="37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Três subdimensões equiponderadas; PISA 2025.</w:t>
            </w:r>
          </w:p>
        </w:tc>
      </w:tr>
      <w:tr w:rsidR="00985054" w:rsidRPr="00796AB2" w14:paraId="6C318689" w14:textId="77777777">
        <w:trPr>
          <w:jc w:val="center"/>
        </w:trPr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Inovação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14.º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51,2340</w:t>
            </w:r>
          </w:p>
        </w:tc>
        <w:tc>
          <w:tcPr>
            <w:tcW w:w="37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EIS 2026 restrito aos blocos 1.x–3.x.</w:t>
            </w:r>
          </w:p>
        </w:tc>
      </w:tr>
      <w:tr w:rsidR="00985054" w:rsidRPr="00796AB2" w14:paraId="50E3AF43" w14:textId="77777777">
        <w:trPr>
          <w:jc w:val="center"/>
        </w:trPr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Competitividade externa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25.º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19,2308</w:t>
            </w:r>
          </w:p>
        </w:tc>
        <w:tc>
          <w:tcPr>
            <w:tcW w:w="37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EIS 4.2.1 e 4.2.2, sem duplicação na Inovação.</w:t>
            </w:r>
          </w:p>
        </w:tc>
      </w:tr>
      <w:tr w:rsidR="00985054" w:rsidRPr="00796AB2" w14:paraId="30DD4F58" w14:textId="77777777">
        <w:trPr>
          <w:jc w:val="center"/>
        </w:trPr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Coesão social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17.º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41,3462</w:t>
            </w:r>
          </w:p>
        </w:tc>
        <w:tc>
          <w:tcPr>
            <w:tcW w:w="37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Gini e AROPE invertidos, com pesos iguais.</w:t>
            </w:r>
          </w:p>
        </w:tc>
      </w:tr>
      <w:tr w:rsidR="00985054" w:rsidRPr="00796AB2" w14:paraId="5ED0A6C3" w14:textId="77777777">
        <w:trPr>
          <w:jc w:val="center"/>
        </w:trPr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Instituições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16.º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45,7772</w:t>
            </w:r>
          </w:p>
        </w:tc>
        <w:tc>
          <w:tcPr>
            <w:tcW w:w="37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Quatro pilares; ILE académico com fórmula e parâmetros publicados.</w:t>
            </w:r>
          </w:p>
        </w:tc>
      </w:tr>
      <w:tr w:rsidR="00234724" w:rsidRPr="00796AB2" w14:paraId="5FA2E6FE" w14:textId="77777777">
        <w:trPr>
          <w:jc w:val="center"/>
        </w:trPr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Sustentabilidade ambiental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12.º</w:t>
            </w:r>
          </w:p>
        </w:tc>
        <w:tc>
          <w:tcPr>
            <w:tcW w:w="108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50,0000</w:t>
            </w:r>
          </w:p>
        </w:tc>
        <w:tc>
          <w:tcPr>
            <w:tcW w:w="37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Três pilares equilibrados.</w:t>
            </w:r>
          </w:p>
        </w:tc>
      </w:tr>
    </w:tbl>
    <w:p w14:paraId="07847CFD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00BB99CE" w14:textId="77777777" w:rsidR="00985054" w:rsidRPr="00984171" w:rsidRDefault="00000000">
      <w:pPr>
        <w:pStyle w:val="Ttulo1"/>
        <w:rPr>
          <w:lang w:val="pt-PT"/>
        </w:rPr>
      </w:pPr>
      <w:r>
        <w:t>1. Pergunta, conceito e âmbito</w:t>
      </w:r>
    </w:p>
    <w:p w14:paraId="3808278A" w14:textId="77777777" w:rsidR="00985054" w:rsidRPr="00984171" w:rsidRDefault="00000000">
      <w:pPr>
        <w:pStyle w:val="Ttulo2"/>
        <w:rPr>
          <w:lang w:val="pt-PT"/>
        </w:rPr>
      </w:pPr>
      <w:r>
        <w:t>1.1 Pergunta de medição</w:t>
      </w:r>
    </w:p>
    <w:p w14:paraId="2BE19959" w14:textId="77777777" w:rsidR="00985054" w:rsidRPr="00984171" w:rsidRDefault="00000000">
      <w:pPr>
        <w:rPr>
          <w:lang w:val="pt-PT"/>
        </w:rPr>
      </w:pPr>
      <w:r>
        <w:t>Em que posição relativa se encontra Portugal entre os 27 Estados-Membros quando se observam, em conjunto, os resultados materiais, a base produtiva, as capacidades humanas, a sofisticação económica, a coesão social e a qualidade institucional necessárias para alcançar o pelotão da frente europeu no horizonte 2040?</w:t>
      </w:r>
    </w:p>
    <w:p w14:paraId="08C4C3D3" w14:textId="77777777" w:rsidR="00985054" w:rsidRPr="00984171" w:rsidRDefault="00000000">
      <w:pPr>
        <w:pStyle w:val="Ttulo2"/>
        <w:rPr>
          <w:lang w:val="pt-PT"/>
        </w:rPr>
      </w:pPr>
      <w:r>
        <w:t>1.2 Conceito multidimensional</w:t>
      </w:r>
    </w:p>
    <w:p w14:paraId="7F993CFB" w14:textId="77777777" w:rsidR="00985054" w:rsidRPr="00984171" w:rsidRDefault="00000000">
      <w:pPr>
        <w:rPr>
          <w:lang w:val="pt-PT"/>
        </w:rPr>
      </w:pPr>
      <w:r>
        <w:t>A convergência estrutural é definida como a capacidade duradoura de uma sociedade combinar instituições de qualidade, capacidades humanas e tecnológicas, uma economia produtiva e sofisticada e mecanismos de distribuição que traduzam criação de valor em prosperidade partilhada. O índice contém resultados e condições de possibilidade; essa escolha acompanha o circuito causal do Manifesto.</w:t>
      </w:r>
    </w:p>
    <w:p w14:paraId="34C56664" w14:textId="77777777" w:rsidR="00985054" w:rsidRPr="00984171" w:rsidRDefault="00000000">
      <w:pPr>
        <w:pStyle w:val="Ttulo2"/>
        <w:rPr>
          <w:lang w:val="pt-PT"/>
        </w:rPr>
      </w:pPr>
      <w:r>
        <w:t>1.3 Critério editorial</w:t>
      </w:r>
    </w:p>
    <w:p w14:paraId="13F5D1E3" w14:textId="77777777" w:rsidR="00985054" w:rsidRDefault="00000000">
      <w:r>
        <w:t>A classificação serve de fundamento verificável para a expressão “cauda da Europa”, mas deve ser comunicada com a faixa de sensibilidade e com as fragilidades substantivas. O lugar ordinal não substitui o diagnóstico.</w:t>
      </w:r>
    </w:p>
    <w:p w14:paraId="5881B6D9" w14:textId="77777777" w:rsidR="00985054" w:rsidRDefault="00000000">
      <w:pPr>
        <w:pStyle w:val="Ttulo1"/>
      </w:pPr>
      <w:r>
        <w:t>2. Arquitetura do índice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312"/>
        <w:gridCol w:w="4176"/>
      </w:tblGrid>
      <w:tr w:rsidR="00985054" w14:paraId="6A5216A4" w14:textId="77777777">
        <w:trPr>
          <w:tblHeader/>
          <w:jc w:val="center"/>
        </w:trPr>
        <w:tc>
          <w:tcPr>
            <w:tcW w:w="180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508451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Bloco causal</w:t>
            </w:r>
          </w:p>
        </w:tc>
        <w:tc>
          <w:tcPr>
            <w:tcW w:w="3312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F0D6F7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Dimensões</w:t>
            </w:r>
          </w:p>
        </w:tc>
        <w:tc>
          <w:tcPr>
            <w:tcW w:w="4176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739CC6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Função analítica</w:t>
            </w:r>
          </w:p>
        </w:tc>
      </w:tr>
      <w:tr w:rsidR="00985054" w:rsidRPr="00796AB2" w14:paraId="3324A7F4" w14:textId="77777777">
        <w:trPr>
          <w:jc w:val="center"/>
        </w:trPr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3B930D" w14:textId="77777777" w:rsidR="00985054" w:rsidRDefault="00000000">
            <w:pPr>
              <w:spacing w:after="0" w:line="252" w:lineRule="auto"/>
            </w:pPr>
            <w:r>
              <w:t>Resultados materiais</w:t>
            </w:r>
          </w:p>
        </w:tc>
        <w:tc>
          <w:tcPr>
            <w:tcW w:w="331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855522" w14:textId="77777777" w:rsidR="00985054" w:rsidRDefault="00000000">
            <w:pPr>
              <w:spacing w:after="0" w:line="252" w:lineRule="auto"/>
            </w:pPr>
            <w:r>
              <w:t>Prosperidade; remuneração; coesão social</w:t>
            </w:r>
          </w:p>
        </w:tc>
        <w:tc>
          <w:tcPr>
            <w:tcW w:w="41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1FB30C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O que chega às famílias e como é distribuído</w:t>
            </w:r>
          </w:p>
        </w:tc>
      </w:tr>
      <w:tr w:rsidR="00985054" w:rsidRPr="00796AB2" w14:paraId="5ADA5681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4C1841" w14:textId="77777777" w:rsidR="00985054" w:rsidRDefault="00000000">
            <w:pPr>
              <w:spacing w:after="0" w:line="252" w:lineRule="auto"/>
            </w:pPr>
            <w:r>
              <w:t>Base produtiva</w:t>
            </w:r>
          </w:p>
        </w:tc>
        <w:tc>
          <w:tcPr>
            <w:tcW w:w="331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4B3C93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Produtividade; sofisticação e competitividade externa</w:t>
            </w:r>
          </w:p>
        </w:tc>
        <w:tc>
          <w:tcPr>
            <w:tcW w:w="417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5F8767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Capacidade de criar valor e competir</w:t>
            </w:r>
          </w:p>
        </w:tc>
      </w:tr>
      <w:tr w:rsidR="00985054" w:rsidRPr="00796AB2" w14:paraId="4492E3CD" w14:textId="77777777">
        <w:trPr>
          <w:jc w:val="center"/>
        </w:trPr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3575C6" w14:textId="77777777" w:rsidR="00985054" w:rsidRDefault="00000000">
            <w:pPr>
              <w:spacing w:after="0" w:line="252" w:lineRule="auto"/>
            </w:pPr>
            <w:r>
              <w:t>Capacidades</w:t>
            </w:r>
          </w:p>
        </w:tc>
        <w:tc>
          <w:tcPr>
            <w:tcW w:w="331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3D769" w14:textId="77777777" w:rsidR="00985054" w:rsidRDefault="00000000">
            <w:pPr>
              <w:spacing w:after="0" w:line="252" w:lineRule="auto"/>
            </w:pPr>
            <w:r>
              <w:t>Educação; inovação</w:t>
            </w:r>
          </w:p>
        </w:tc>
        <w:tc>
          <w:tcPr>
            <w:tcW w:w="41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BD6FA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Conhecimento, qualificações e transformação tecnológica</w:t>
            </w:r>
          </w:p>
        </w:tc>
      </w:tr>
      <w:tr w:rsidR="00985054" w:rsidRPr="00796AB2" w14:paraId="79880E9A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3A050A" w14:textId="77777777" w:rsidR="00985054" w:rsidRDefault="00000000">
            <w:pPr>
              <w:spacing w:after="0" w:line="252" w:lineRule="auto"/>
            </w:pPr>
            <w:r>
              <w:t>Instituições</w:t>
            </w:r>
          </w:p>
        </w:tc>
        <w:tc>
          <w:tcPr>
            <w:tcW w:w="331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E03B1C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Qualidade institucional e das elites</w:t>
            </w:r>
          </w:p>
        </w:tc>
        <w:tc>
          <w:tcPr>
            <w:tcW w:w="417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4858EB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Regras, execução, abertura e integridade</w:t>
            </w:r>
          </w:p>
        </w:tc>
      </w:tr>
      <w:tr w:rsidR="00234724" w:rsidRPr="00796AB2" w14:paraId="1FA4D401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A524FA" w14:textId="77777777" w:rsidR="00234724" w:rsidRPr="00796AB2" w:rsidRDefault="00000000">
            <w:pPr>
              <w:spacing w:after="0"/>
              <w:rPr>
                <w:sz w:val="18"/>
                <w:szCs w:val="18"/>
              </w:rPr>
            </w:pPr>
            <w:r>
              <w:t>Resiliência ambiental</w:t>
            </w:r>
          </w:p>
        </w:tc>
        <w:tc>
          <w:tcPr>
            <w:tcW w:w="331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886E8D" w14:textId="77777777" w:rsidR="00234724" w:rsidRPr="00796AB2" w:rsidRDefault="00000000">
            <w:pPr>
              <w:spacing w:after="0"/>
              <w:rPr>
                <w:sz w:val="18"/>
                <w:szCs w:val="18"/>
              </w:rPr>
            </w:pPr>
            <w:r>
              <w:t>Sustentabilidade ambiental</w:t>
            </w:r>
          </w:p>
        </w:tc>
        <w:tc>
          <w:tcPr>
            <w:tcW w:w="417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05E813" w14:textId="77777777" w:rsidR="00234724" w:rsidRPr="00796AB2" w:rsidRDefault="00000000">
            <w:pPr>
              <w:spacing w:after="0"/>
              <w:rPr>
                <w:sz w:val="18"/>
                <w:szCs w:val="18"/>
                <w:lang w:val="pt-PT"/>
              </w:rPr>
            </w:pPr>
            <w:r>
              <w:t>Capacidade de descarbonizar, usar recursos eficientemente e preservar condições ecológicas duradouras</w:t>
            </w:r>
          </w:p>
        </w:tc>
      </w:tr>
    </w:tbl>
    <w:p w14:paraId="1165FF8F" w14:textId="77777777" w:rsidR="00985054" w:rsidRPr="00984171" w:rsidRDefault="00000000">
      <w:pPr>
        <w:pStyle w:val="Ttulo1"/>
        <w:rPr>
          <w:lang w:val="pt-PT"/>
        </w:rPr>
      </w:pPr>
      <w:r>
        <w:t>3. Normalização, ponderação e agregação</w:t>
      </w:r>
    </w:p>
    <w:p w14:paraId="1109D895" w14:textId="77777777" w:rsidR="00985054" w:rsidRPr="00984171" w:rsidRDefault="00000000">
      <w:pPr>
        <w:pStyle w:val="Ttulo2"/>
        <w:rPr>
          <w:lang w:val="pt-PT"/>
        </w:rPr>
      </w:pPr>
      <w:r>
        <w:t>3.1 Normalização ordinal</w:t>
      </w:r>
    </w:p>
    <w:p w14:paraId="41C6987B" w14:textId="77777777" w:rsidR="00985054" w:rsidRPr="00984171" w:rsidRDefault="00000000">
      <w:pPr>
        <w:rPr>
          <w:lang w:val="pt-PT"/>
        </w:rPr>
      </w:pPr>
      <w:r>
        <w:t>Cada indicador é orientado de modo que valores superiores signifiquem melhor desempenho. A posição de cada país é convertida numa pontuação percentílica entre 0 e 100: 0 para o último lugar e 100 para o primeiro, com posições médias em caso de empate. Esta transformação reduz a influência de valores extremos e torna comparáveis unidades distintas.</w:t>
      </w:r>
    </w:p>
    <w:p w14:paraId="7AD4840A" w14:textId="77777777" w:rsidR="00985054" w:rsidRPr="00984171" w:rsidRDefault="00000000">
      <w:pPr>
        <w:pStyle w:val="Ttulo2"/>
        <w:rPr>
          <w:lang w:val="pt-PT"/>
        </w:rPr>
      </w:pPr>
      <w:r>
        <w:t>3.2 Agregação interna</w:t>
      </w:r>
    </w:p>
    <w:p w14:paraId="45DA8046" w14:textId="77777777" w:rsidR="00985054" w:rsidRPr="00984171" w:rsidRDefault="00000000">
      <w:pPr>
        <w:rPr>
          <w:lang w:val="pt-PT"/>
        </w:rPr>
      </w:pPr>
      <w:r>
        <w:t>A regra interna é definida antes do cálculo. As nove dimensões resultam da matriz integral de 61 indicadores para 27 países. A Prosperidade combina o consumo individual efetivo per capita e o rendimento disponível ajustado das famílias; a Inovação integra apenas os blocos EIS 1.x–3.x. Os impactos 4.x são excluídos da Inovação, evitando a dupla contabilização direta dos indicadores 4.2.1 e 4.2.2, já usados na Competitividade externa. Os indicadores são convertidos em percentis ordinais UE-27; as dimensões agregam esses percentis segundo os pesos internos, sem uma segunda normalização ordinal.</w:t>
      </w:r>
    </w:p>
    <w:p w14:paraId="6A77D505" w14:textId="77777777" w:rsidR="00985054" w:rsidRPr="00984171" w:rsidRDefault="00000000">
      <w:pPr>
        <w:pStyle w:val="Ttulo2"/>
        <w:rPr>
          <w:lang w:val="pt-PT"/>
        </w:rPr>
      </w:pPr>
      <w:r>
        <w:t>3.3 Índice global</w:t>
      </w:r>
    </w:p>
    <w:p w14:paraId="1234079F" w14:textId="77777777" w:rsidR="00985054" w:rsidRPr="00984171" w:rsidRDefault="00000000">
      <w:pPr>
        <w:rPr>
          <w:lang w:val="pt-PT"/>
        </w:rPr>
      </w:pPr>
      <w:r>
        <w:t>O índice global atribui peso igual (1/9) às nove dimensões e corresponde à média das pontuações dimensionais. A atualização de outubro foi novamente testada por exclusão de cada dimensão e por 100 000 simulações em cada um de dois cenários de ponderação.</w:t>
      </w:r>
    </w:p>
    <w:p w14:paraId="71151A54" w14:textId="77777777" w:rsidR="00985054" w:rsidRPr="00984171" w:rsidRDefault="00000000">
      <w:pPr>
        <w:pStyle w:val="Ttulo2"/>
        <w:rPr>
          <w:lang w:val="pt-PT"/>
        </w:rPr>
      </w:pPr>
      <w:r>
        <w:t>3.4 Tratamento de ausências</w:t>
      </w:r>
    </w:p>
    <w:p w14:paraId="519FF1DD" w14:textId="77777777" w:rsidR="00985054" w:rsidRPr="00984171" w:rsidRDefault="00000000">
      <w:pPr>
        <w:rPr>
          <w:lang w:val="pt-PT"/>
        </w:rPr>
      </w:pPr>
      <w:r>
        <w:t>A base v3.0 continha 1 647 registos e oito imputações. A atualização do ICE-06 substitui a imputação PISA 2022 do Luxemburgo por resultados observados em 2025, reduzindo o total a sete. As restantes sete imputações são preservadas; o Anexo D documenta as revisões Eurostat e WGI.</w:t>
      </w:r>
    </w:p>
    <w:p w14:paraId="000E941D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4A54D46E" w14:textId="77777777" w:rsidR="00985054" w:rsidRPr="00984171" w:rsidRDefault="00000000">
      <w:pPr>
        <w:pStyle w:val="Ttulo1"/>
        <w:rPr>
          <w:lang w:val="pt-PT"/>
        </w:rPr>
      </w:pPr>
      <w:r>
        <w:t>4. Matriz integral de dimensões e indicadores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384"/>
        <w:gridCol w:w="885"/>
        <w:gridCol w:w="1944"/>
        <w:gridCol w:w="1296"/>
      </w:tblGrid>
      <w:tr w:rsidR="00985054" w14:paraId="4F1498B3" w14:textId="77777777">
        <w:trPr>
          <w:tblHeader/>
          <w:jc w:val="center"/>
        </w:trPr>
        <w:tc>
          <w:tcPr>
            <w:tcW w:w="180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666D22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Dimensão</w:t>
            </w:r>
          </w:p>
        </w:tc>
        <w:tc>
          <w:tcPr>
            <w:tcW w:w="338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758B69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86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724815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194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444118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</w:t>
            </w:r>
          </w:p>
        </w:tc>
        <w:tc>
          <w:tcPr>
            <w:tcW w:w="1296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820C0A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Decisão</w:t>
            </w:r>
          </w:p>
        </w:tc>
      </w:tr>
      <w:tr w:rsidR="00985054" w:rsidRPr="00796AB2" w14:paraId="4D07D5C0" w14:textId="77777777">
        <w:trPr>
          <w:jc w:val="center"/>
        </w:trPr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32E64A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Prosperidade</w:t>
            </w:r>
          </w:p>
        </w:tc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Consumo individual efetivo per capita; rendimento disponível ajustado bruto das famílias per capita</w:t>
            </w:r>
          </w:p>
        </w:tc>
        <w:tc>
          <w:tcPr>
            <w:tcW w:w="86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2023–2024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Eurostat</w:t>
            </w:r>
          </w:p>
        </w:tc>
        <w:tc>
          <w:tcPr>
            <w:tcW w:w="12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Especificação consolidada; Portugal 16.º.</w:t>
            </w:r>
          </w:p>
        </w:tc>
      </w:tr>
      <w:tr w:rsidR="00985054" w:rsidRPr="00796AB2" w14:paraId="0E524A78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A004DC" w14:textId="77777777" w:rsidR="00985054" w:rsidRDefault="00000000">
            <w:pPr>
              <w:spacing w:after="0" w:line="252" w:lineRule="auto"/>
            </w:pPr>
            <w:r>
              <w:t>Produtividade</w:t>
            </w:r>
          </w:p>
        </w:tc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E74B28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Produtividade do trabalho por hora em PPC, UE-27=100</w:t>
            </w:r>
          </w:p>
        </w:tc>
        <w:tc>
          <w:tcPr>
            <w:tcW w:w="86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3B1234" w14:textId="77777777" w:rsidR="00985054" w:rsidRDefault="00000000">
            <w:pPr>
              <w:spacing w:after="0" w:line="252" w:lineRule="auto"/>
            </w:pPr>
            <w:r>
              <w:t>2025</w:t>
            </w:r>
          </w:p>
        </w:tc>
        <w:tc>
          <w:tcPr>
            <w:tcW w:w="19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36121B" w14:textId="77777777" w:rsidR="00985054" w:rsidRDefault="00000000">
            <w:pPr>
              <w:spacing w:after="0" w:line="252" w:lineRule="auto"/>
            </w:pPr>
            <w:r>
              <w:t>Eurostat</w:t>
            </w:r>
          </w:p>
        </w:tc>
        <w:tc>
          <w:tcPr>
            <w:tcW w:w="129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617F02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Portugal 24.º.</w:t>
            </w:r>
          </w:p>
        </w:tc>
      </w:tr>
      <w:tr w:rsidR="00985054" w:rsidRPr="00796AB2" w14:paraId="76F2E920" w14:textId="77777777">
        <w:trPr>
          <w:jc w:val="center"/>
        </w:trPr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FF8FCD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Remuneração</w:t>
            </w:r>
          </w:p>
        </w:tc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3C5369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Compensação por empregado; mediana horária bruta em PPC</w:t>
            </w:r>
          </w:p>
        </w:tc>
        <w:tc>
          <w:tcPr>
            <w:tcW w:w="86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58B5DD" w14:textId="77777777" w:rsidR="00985054" w:rsidRDefault="00000000">
            <w:pPr>
              <w:spacing w:after="0" w:line="252" w:lineRule="auto"/>
            </w:pPr>
            <w:r>
              <w:t>2022–2025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45CD81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Eurostat</w:t>
            </w:r>
          </w:p>
        </w:tc>
        <w:tc>
          <w:tcPr>
            <w:tcW w:w="12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E9AF32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Portugal 22.º.</w:t>
            </w:r>
          </w:p>
        </w:tc>
      </w:tr>
      <w:tr w:rsidR="00985054" w:rsidRPr="00796AB2" w14:paraId="0D9BDEDB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E67A44" w14:textId="77777777" w:rsidR="00985054" w:rsidRDefault="00000000">
            <w:pPr>
              <w:spacing w:after="0" w:line="252" w:lineRule="auto"/>
            </w:pPr>
            <w:r>
              <w:t>Educação</w:t>
            </w:r>
          </w:p>
        </w:tc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ED7678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PISA, qualificações, abandono, aprendizagem e competências digitais</w:t>
            </w:r>
          </w:p>
        </w:tc>
        <w:tc>
          <w:tcPr>
            <w:tcW w:w="86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E6A56B" w14:textId="77777777" w:rsidR="00985054" w:rsidRDefault="00000000">
            <w:pPr>
              <w:spacing w:after="0" w:line="252" w:lineRule="auto"/>
            </w:pPr>
            <w:r>
              <w:t>2023–2026</w:t>
            </w:r>
          </w:p>
        </w:tc>
        <w:tc>
          <w:tcPr>
            <w:tcW w:w="19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64F32E" w14:textId="77777777" w:rsidR="00985054" w:rsidRDefault="00000000">
            <w:pPr>
              <w:spacing w:after="0" w:line="252" w:lineRule="auto"/>
            </w:pPr>
            <w:r>
              <w:t>OCDE; Eurostat; EIS</w:t>
            </w:r>
          </w:p>
        </w:tc>
        <w:tc>
          <w:tcPr>
            <w:tcW w:w="129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D20879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Portugal 15.º; PISA 2025.</w:t>
            </w:r>
          </w:p>
        </w:tc>
      </w:tr>
      <w:tr w:rsidR="00985054" w:rsidRPr="00796AB2" w14:paraId="56C47CF9" w14:textId="77777777">
        <w:trPr>
          <w:jc w:val="center"/>
        </w:trPr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C12351" w14:textId="77777777" w:rsidR="00985054" w:rsidRDefault="00000000">
            <w:pPr>
              <w:spacing w:after="0" w:line="252" w:lineRule="auto"/>
            </w:pPr>
            <w:r>
              <w:t>Inovação</w:t>
            </w:r>
          </w:p>
        </w:tc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EIS 1.x–3.x: condições de enquadramento, investimentos e atividades de inovação</w:t>
            </w:r>
          </w:p>
        </w:tc>
        <w:tc>
          <w:tcPr>
            <w:tcW w:w="86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A76133" w14:textId="77777777" w:rsidR="00985054" w:rsidRDefault="00000000">
            <w:pPr>
              <w:spacing w:after="0" w:line="252" w:lineRule="auto"/>
            </w:pPr>
            <w:r>
              <w:t>2026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48D5E4" w14:textId="77777777" w:rsidR="00985054" w:rsidRDefault="00000000">
            <w:pPr>
              <w:spacing w:after="0" w:line="252" w:lineRule="auto"/>
            </w:pPr>
            <w:r>
              <w:t>Comissão Europeia · EIS 2026</w:t>
            </w:r>
          </w:p>
        </w:tc>
        <w:tc>
          <w:tcPr>
            <w:tcW w:w="12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Especificação consolidada; Portugal 14.º.</w:t>
            </w:r>
          </w:p>
        </w:tc>
      </w:tr>
      <w:tr w:rsidR="00985054" w:rsidRPr="00796AB2" w14:paraId="4F03AEF9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FB3C37" w14:textId="77777777" w:rsidR="00985054" w:rsidRDefault="00000000">
            <w:pPr>
              <w:spacing w:after="0" w:line="252" w:lineRule="auto"/>
            </w:pPr>
            <w:r>
              <w:t>Competitividade externa</w:t>
            </w:r>
          </w:p>
        </w:tc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41E911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Exportações de média/alta tecnologia e serviços intensivos em conhecimento</w:t>
            </w:r>
          </w:p>
        </w:tc>
        <w:tc>
          <w:tcPr>
            <w:tcW w:w="86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96F7E9" w14:textId="77777777" w:rsidR="00985054" w:rsidRDefault="00000000">
            <w:pPr>
              <w:spacing w:after="0" w:line="252" w:lineRule="auto"/>
            </w:pPr>
            <w:r>
              <w:t>2026</w:t>
            </w:r>
          </w:p>
        </w:tc>
        <w:tc>
          <w:tcPr>
            <w:tcW w:w="19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B16B1A" w14:textId="77777777" w:rsidR="00985054" w:rsidRDefault="00000000">
            <w:pPr>
              <w:spacing w:after="0" w:line="252" w:lineRule="auto"/>
            </w:pPr>
            <w:r>
              <w:t>Comissão Europeia · EIS 2026</w:t>
            </w:r>
          </w:p>
        </w:tc>
        <w:tc>
          <w:tcPr>
            <w:tcW w:w="129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6ACE6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Portugal 25.º.</w:t>
            </w:r>
          </w:p>
        </w:tc>
      </w:tr>
      <w:tr w:rsidR="00985054" w:rsidRPr="00796AB2" w14:paraId="7C16E0C5" w14:textId="77777777">
        <w:trPr>
          <w:jc w:val="center"/>
        </w:trPr>
        <w:tc>
          <w:tcPr>
            <w:tcW w:w="18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5C61DE" w14:textId="77777777" w:rsidR="00985054" w:rsidRDefault="00000000">
            <w:pPr>
              <w:spacing w:after="0" w:line="252" w:lineRule="auto"/>
            </w:pPr>
            <w:r>
              <w:t>Coesão social</w:t>
            </w:r>
          </w:p>
        </w:tc>
        <w:tc>
          <w:tcPr>
            <w:tcW w:w="33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237292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Gini e AROPE, ambos invertidos</w:t>
            </w:r>
          </w:p>
        </w:tc>
        <w:tc>
          <w:tcPr>
            <w:tcW w:w="86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EEF440" w14:textId="77777777" w:rsidR="00985054" w:rsidRDefault="00000000">
            <w:pPr>
              <w:spacing w:after="0" w:line="252" w:lineRule="auto"/>
            </w:pPr>
            <w:r>
              <w:t>2024–2025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1D1157" w14:textId="77777777" w:rsidR="00985054" w:rsidRDefault="00000000">
            <w:pPr>
              <w:spacing w:after="0" w:line="252" w:lineRule="auto"/>
            </w:pPr>
            <w:r>
              <w:t>Eurostat · EU-SILC</w:t>
            </w:r>
          </w:p>
        </w:tc>
        <w:tc>
          <w:tcPr>
            <w:tcW w:w="12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2F427F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Portugal 17.º.</w:t>
            </w:r>
          </w:p>
        </w:tc>
      </w:tr>
      <w:tr w:rsidR="00985054" w:rsidRPr="00796AB2" w14:paraId="30203C28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B9CF38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Instituições</w:t>
            </w:r>
          </w:p>
        </w:tc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4F4F51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Estado de direito, capacidade, seleção e abertura, integridade</w:t>
            </w:r>
          </w:p>
        </w:tc>
        <w:tc>
          <w:tcPr>
            <w:tcW w:w="86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A2A433" w14:textId="77777777" w:rsidR="00985054" w:rsidRDefault="00000000">
            <w:pPr>
              <w:spacing w:after="0" w:line="252" w:lineRule="auto"/>
            </w:pPr>
            <w:r>
              <w:t>último disponível</w:t>
            </w:r>
          </w:p>
        </w:tc>
        <w:tc>
          <w:tcPr>
            <w:tcW w:w="19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822733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WGI; V-Dem; CE; Pereira &amp; Andrade e Silva</w:t>
            </w:r>
          </w:p>
        </w:tc>
        <w:tc>
          <w:tcPr>
            <w:tcW w:w="129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268DF2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Portugal 16.º.</w:t>
            </w:r>
          </w:p>
        </w:tc>
      </w:tr>
      <w:tr w:rsidR="00234724" w:rsidRPr="00796AB2" w14:paraId="55F6DA43" w14:textId="77777777">
        <w:trPr>
          <w:jc w:val="center"/>
        </w:trPr>
        <w:tc>
          <w:tcPr>
            <w:tcW w:w="18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B089B2" w14:textId="77777777" w:rsidR="00234724" w:rsidRPr="00796AB2" w:rsidRDefault="00000000">
            <w:pPr>
              <w:spacing w:after="0"/>
              <w:rPr>
                <w:sz w:val="15"/>
                <w:szCs w:val="15"/>
              </w:rPr>
            </w:pPr>
            <w:r>
              <w:t>Sustentabilidade ambiental</w:t>
            </w:r>
          </w:p>
        </w:tc>
        <w:tc>
          <w:tcPr>
            <w:tcW w:w="33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9F503A" w14:textId="77777777" w:rsidR="00234724" w:rsidRPr="00796AB2" w:rsidRDefault="00000000">
            <w:pPr>
              <w:spacing w:after="0"/>
              <w:rPr>
                <w:sz w:val="15"/>
                <w:szCs w:val="15"/>
                <w:lang w:val="pt-PT"/>
              </w:rPr>
            </w:pPr>
            <w:r>
              <w:t>GEE, renováveis, energia, circularidade, água, proteção e habitats</w:t>
            </w:r>
          </w:p>
        </w:tc>
        <w:tc>
          <w:tcPr>
            <w:tcW w:w="86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D57D64" w14:textId="77777777" w:rsidR="00234724" w:rsidRPr="00796AB2" w:rsidRDefault="00000000">
            <w:pPr>
              <w:spacing w:after="0"/>
              <w:rPr>
                <w:sz w:val="15"/>
                <w:szCs w:val="15"/>
              </w:rPr>
            </w:pPr>
            <w:r>
              <w:t>2013–2024</w:t>
            </w:r>
          </w:p>
        </w:tc>
        <w:tc>
          <w:tcPr>
            <w:tcW w:w="194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382146" w14:textId="77777777" w:rsidR="00234724" w:rsidRPr="00796AB2" w:rsidRDefault="00000000">
            <w:pPr>
              <w:spacing w:after="0"/>
              <w:rPr>
                <w:sz w:val="15"/>
                <w:szCs w:val="15"/>
                <w:lang w:val="pt-PT"/>
              </w:rPr>
            </w:pPr>
            <w:r>
              <w:t>Eurostat e EEA</w:t>
            </w:r>
          </w:p>
        </w:tc>
        <w:tc>
          <w:tcPr>
            <w:tcW w:w="129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139E5" w14:textId="77777777" w:rsidR="00234724" w:rsidRPr="00796AB2" w:rsidRDefault="00000000">
            <w:pPr>
              <w:spacing w:after="0"/>
              <w:rPr>
                <w:sz w:val="15"/>
                <w:szCs w:val="15"/>
                <w:lang w:val="pt-PT"/>
              </w:rPr>
            </w:pPr>
            <w:r>
              <w:t>Portugal 12.º.</w:t>
            </w:r>
          </w:p>
        </w:tc>
      </w:tr>
    </w:tbl>
    <w:p w14:paraId="7A200E88" w14:textId="77777777" w:rsidR="00985054" w:rsidRDefault="00000000" w:rsidP="00984171">
      <w:r>
        <w:t>5.1 Prosperidade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6BA9BC24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PORTUGAL  Posição: 16.º  ·  Pontuação: 38,4615  ·  AIC e rendimento disponível ajustado, equiponderados.</w:t>
            </w:r>
          </w:p>
        </w:tc>
      </w:tr>
    </w:tbl>
    <w:p w14:paraId="69A3A5D0" w14:textId="77777777" w:rsidR="00985054" w:rsidRPr="00984171" w:rsidRDefault="00985054">
      <w:pPr>
        <w:spacing w:after="40"/>
        <w:rPr>
          <w:lang w:val="pt-PT"/>
        </w:rPr>
      </w:pPr>
    </w:p>
    <w:p w14:paraId="461D1CC4" w14:textId="77777777" w:rsidR="00985054" w:rsidRPr="00984171" w:rsidRDefault="00000000">
      <w:pPr>
        <w:pStyle w:val="Ttulo2"/>
        <w:rPr>
          <w:lang w:val="pt-PT"/>
        </w:rPr>
      </w:pPr>
      <w:r>
        <w:t>Objeto de medição</w:t>
      </w:r>
    </w:p>
    <w:p w14:paraId="65E55CDF" w14:textId="77777777" w:rsidR="00985054" w:rsidRPr="00984171" w:rsidRDefault="00000000">
      <w:pPr>
        <w:rPr>
          <w:lang w:val="pt-PT"/>
        </w:rPr>
      </w:pPr>
      <w:r>
        <w:t>A Prosperidade mede o bem-estar material efetivamente usufruído pelas famílias. Combina o consumo individual efetivo per capita (AIC), em PPC, e o rendimento disponível ajustado bruto das famílias per capita. O AIC é preferido ao PIB per capita porque reduz a distorção provocada pela localização contabilística de multinacionais e aproxima a dimensão do consumo real de bens e serviços.</w:t>
      </w:r>
    </w:p>
    <w:p w14:paraId="2B28D6C4" w14:textId="77777777" w:rsidR="00985054" w:rsidRDefault="00000000">
      <w:pPr>
        <w:pStyle w:val="Ttulo2"/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4DDE1789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C3EB6D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2BA6B6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A78674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14:paraId="01D0222C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Consumo individual efetivo per capita em PPC; rendimento disponível ajustado bruto das famílias per capita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2023–2024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Eurostat</w:t>
            </w:r>
          </w:p>
        </w:tc>
      </w:tr>
    </w:tbl>
    <w:p w14:paraId="28BBA4DD" w14:textId="77777777" w:rsidR="00985054" w:rsidRDefault="00000000">
      <w:pPr>
        <w:pStyle w:val="Ttulo2"/>
      </w:pPr>
      <w:r>
        <w:t>Decisão da auditoria</w:t>
      </w:r>
    </w:p>
    <w:p w14:paraId="41B07294" w14:textId="77777777" w:rsidR="00985054" w:rsidRPr="00984171" w:rsidRDefault="00000000">
      <w:pPr>
        <w:rPr>
          <w:lang w:val="pt-PT"/>
        </w:rPr>
      </w:pPr>
      <w:r>
        <w:t>Especificação consolidada: Portugal 16.º, com 38,4615 pontos. Os dois indicadores recebem pesos iguais e são convertidos no percentil ordinal comum ao ICE.</w:t>
      </w:r>
    </w:p>
    <w:p w14:paraId="29285C67" w14:textId="77777777" w:rsidR="00985054" w:rsidRPr="00984171" w:rsidRDefault="00000000">
      <w:pPr>
        <w:pStyle w:val="Ttulo2"/>
        <w:rPr>
          <w:lang w:val="pt-PT"/>
        </w:rPr>
      </w:pPr>
      <w:r>
        <w:t>Limites e cautelas</w:t>
      </w:r>
    </w:p>
    <w:p w14:paraId="0C6D9D95" w14:textId="77777777" w:rsidR="00985054" w:rsidRPr="00984171" w:rsidRDefault="00000000">
      <w:pPr>
        <w:rPr>
          <w:lang w:val="pt-PT"/>
        </w:rPr>
      </w:pPr>
      <w:r>
        <w:t>O AIC e o rendimento disponível ajustado aproximam melhor o padrão de vida material do que o PIB, mas não medem património, desigualdade interna nem qualidade subjetiva de vida. O PIB per capita em PPC permanece documentado apenas como especificação de sensibilidade.</w:t>
      </w:r>
    </w:p>
    <w:p w14:paraId="64431F83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7E1CE23E" w14:textId="77777777" w:rsidR="00985054" w:rsidRDefault="00000000">
      <w:pPr>
        <w:pStyle w:val="Ttulo1"/>
      </w:pPr>
      <w:r>
        <w:t>5.2 Produtividade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3488FEFB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2055D1" w14:textId="77777777" w:rsidR="00985054" w:rsidRPr="00984171" w:rsidRDefault="00000000">
            <w:pPr>
              <w:spacing w:after="0" w:line="269" w:lineRule="auto"/>
              <w:rPr>
                <w:lang w:val="pt-PT"/>
              </w:rPr>
            </w:pPr>
            <w:r>
              <w:t>PORTUGAL  Posição: 24.º  ·  Pontuação: 11,5385  ·  Produtividade por hora em PPC trabalhada.</w:t>
            </w:r>
          </w:p>
        </w:tc>
      </w:tr>
    </w:tbl>
    <w:p w14:paraId="06AAA4AD" w14:textId="77777777" w:rsidR="00985054" w:rsidRPr="00984171" w:rsidRDefault="00985054">
      <w:pPr>
        <w:spacing w:after="40"/>
        <w:rPr>
          <w:lang w:val="pt-PT"/>
        </w:rPr>
      </w:pPr>
    </w:p>
    <w:p w14:paraId="5B7C2AE2" w14:textId="77777777" w:rsidR="00985054" w:rsidRPr="00984171" w:rsidRDefault="00000000">
      <w:pPr>
        <w:pStyle w:val="Ttulo2"/>
        <w:rPr>
          <w:lang w:val="pt-PT"/>
        </w:rPr>
      </w:pPr>
      <w:r>
        <w:t>Objeto de medição</w:t>
      </w:r>
    </w:p>
    <w:p w14:paraId="4585F61F" w14:textId="77777777" w:rsidR="00985054" w:rsidRPr="00984171" w:rsidRDefault="00000000">
      <w:pPr>
        <w:rPr>
          <w:lang w:val="pt-PT"/>
        </w:rPr>
      </w:pPr>
      <w:r>
        <w:t>Relaciona o produto real com o volume de trabalho e permite comparar a capacidade de criar valor por unidade de tempo. A opção por hora trabalhada é superior à produtividade por pessoa, porque corrige diferenças de duração do trabalho e incidência do tempo parcial.</w:t>
      </w:r>
    </w:p>
    <w:p w14:paraId="3F3FCAD2" w14:textId="77777777" w:rsidR="00985054" w:rsidRDefault="00000000">
      <w:pPr>
        <w:pStyle w:val="Ttulo2"/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446000E4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549FAD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7E6AF8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DA6BA2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14:paraId="57C5E95B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0F0FE8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Produtividade do trabalho por hora em PPC trabalhada, UE-27=100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E21266" w14:textId="77777777" w:rsidR="00985054" w:rsidRDefault="00000000">
            <w:pPr>
              <w:spacing w:after="0" w:line="252" w:lineRule="auto"/>
            </w:pPr>
            <w:r>
              <w:t>2025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E881BD" w14:textId="77777777" w:rsidR="00985054" w:rsidRDefault="00000000">
            <w:pPr>
              <w:spacing w:after="0" w:line="252" w:lineRule="auto"/>
            </w:pPr>
            <w:r>
              <w:t>Eurostat · nama_10_lp_ulc</w:t>
            </w:r>
          </w:p>
        </w:tc>
      </w:tr>
    </w:tbl>
    <w:p w14:paraId="5E961CA7" w14:textId="77777777" w:rsidR="00985054" w:rsidRPr="00984171" w:rsidRDefault="00000000">
      <w:pPr>
        <w:pStyle w:val="Ttulo2"/>
        <w:rPr>
          <w:lang w:val="pt-PT"/>
        </w:rPr>
      </w:pPr>
      <w:r>
        <w:t>Decisão da auditoria</w:t>
      </w:r>
    </w:p>
    <w:p w14:paraId="3FD60F48" w14:textId="77777777" w:rsidR="00985054" w:rsidRPr="00984171" w:rsidRDefault="00000000">
      <w:pPr>
        <w:rPr>
          <w:lang w:val="pt-PT"/>
        </w:rPr>
      </w:pPr>
      <w:r>
        <w:t>Portugal 24.º, com 11,5385 pontos, no conjunto atualizado de 2025. Mantém-se a opção pela produtividade por hora em PPC trabalhada.</w:t>
      </w:r>
    </w:p>
    <w:p w14:paraId="1215041E" w14:textId="77777777" w:rsidR="00985054" w:rsidRPr="00984171" w:rsidRDefault="00000000">
      <w:pPr>
        <w:pStyle w:val="Ttulo2"/>
        <w:rPr>
          <w:lang w:val="pt-PT"/>
        </w:rPr>
      </w:pPr>
      <w:r>
        <w:t>Limites e cautelas</w:t>
      </w:r>
    </w:p>
    <w:p w14:paraId="4B4BA6E6" w14:textId="77777777" w:rsidR="00985054" w:rsidRPr="00984171" w:rsidRDefault="00000000">
      <w:pPr>
        <w:rPr>
          <w:lang w:val="pt-PT"/>
        </w:rPr>
      </w:pPr>
      <w:r>
        <w:t>Não separa composição setorial, intensidade de capital ou efeitos contabilísticos de economias pequenas.</w:t>
      </w:r>
    </w:p>
    <w:p w14:paraId="304EA1A5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539BF37C" w14:textId="77777777" w:rsidR="00985054" w:rsidRPr="00984171" w:rsidRDefault="00000000">
      <w:pPr>
        <w:pStyle w:val="Ttulo1"/>
        <w:rPr>
          <w:lang w:val="pt-PT"/>
        </w:rPr>
      </w:pPr>
      <w:r>
        <w:t>5.3 Remuneração do trabalho e poder de compra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336DA6A8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D8ACE6" w14:textId="77777777" w:rsidR="00985054" w:rsidRPr="00984171" w:rsidRDefault="00000000">
            <w:pPr>
              <w:spacing w:after="0" w:line="269" w:lineRule="auto"/>
              <w:rPr>
                <w:lang w:val="pt-PT"/>
              </w:rPr>
            </w:pPr>
            <w:r>
              <w:t>PORTUGAL  Posição: 22.º  ·  Pontuação: 19,2308  ·  Dois indicadores equiponderados.</w:t>
            </w:r>
          </w:p>
        </w:tc>
      </w:tr>
    </w:tbl>
    <w:p w14:paraId="109F503A" w14:textId="77777777" w:rsidR="00985054" w:rsidRPr="00984171" w:rsidRDefault="00985054">
      <w:pPr>
        <w:spacing w:after="40"/>
        <w:rPr>
          <w:lang w:val="pt-PT"/>
        </w:rPr>
      </w:pPr>
    </w:p>
    <w:p w14:paraId="4AD588B4" w14:textId="77777777" w:rsidR="00985054" w:rsidRPr="00984171" w:rsidRDefault="00000000">
      <w:pPr>
        <w:pStyle w:val="Ttulo2"/>
        <w:rPr>
          <w:lang w:val="pt-PT"/>
        </w:rPr>
      </w:pPr>
      <w:r>
        <w:t>Objeto de medição</w:t>
      </w:r>
    </w:p>
    <w:p w14:paraId="7CEA2DBD" w14:textId="77777777" w:rsidR="00985054" w:rsidRPr="00984171" w:rsidRDefault="00000000">
      <w:pPr>
        <w:rPr>
          <w:lang w:val="pt-PT"/>
        </w:rPr>
      </w:pPr>
      <w:r>
        <w:t>A remuneração por empregado mede a compensação total do trabalho; a remuneração horária mediana em PPC corrige diferenças de preços, composição e duração do trabalho. A combinação evita confundir custos laborais nominais com o poder de compra do trabalhador típico.</w:t>
      </w:r>
    </w:p>
    <w:p w14:paraId="3EE9AF62" w14:textId="77777777" w:rsidR="00985054" w:rsidRDefault="00000000">
      <w:pPr>
        <w:pStyle w:val="Ttulo2"/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617FB3DF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FA2908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4D700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B8CC3B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:rsidRPr="00796AB2" w14:paraId="3A0A9C80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2453F1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Compensação por empregado; remuneração horária mediana bruta em PPC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B52DE7" w14:textId="77777777" w:rsidR="00985054" w:rsidRDefault="00000000">
            <w:pPr>
              <w:spacing w:after="0" w:line="252" w:lineRule="auto"/>
            </w:pPr>
            <w:r>
              <w:t>2022–2025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AEB961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Eurostat</w:t>
            </w:r>
          </w:p>
        </w:tc>
      </w:tr>
    </w:tbl>
    <w:p w14:paraId="4422A14F" w14:textId="77777777" w:rsidR="00985054" w:rsidRPr="00984171" w:rsidRDefault="00000000">
      <w:pPr>
        <w:pStyle w:val="Ttulo2"/>
        <w:rPr>
          <w:lang w:val="pt-PT"/>
        </w:rPr>
      </w:pPr>
      <w:r>
        <w:t>Decisão da auditoria</w:t>
      </w:r>
    </w:p>
    <w:p w14:paraId="7F93201F" w14:textId="77777777" w:rsidR="00985054" w:rsidRPr="00984171" w:rsidRDefault="00000000">
      <w:pPr>
        <w:rPr>
          <w:lang w:val="pt-PT"/>
        </w:rPr>
      </w:pPr>
      <w:r>
        <w:t>Portugal 22.º, com 19,2308 pontos. Os dois indicadores permanecem equiponderados.</w:t>
      </w:r>
    </w:p>
    <w:p w14:paraId="4A444FF4" w14:textId="77777777" w:rsidR="00985054" w:rsidRPr="00984171" w:rsidRDefault="00000000">
      <w:pPr>
        <w:pStyle w:val="Ttulo2"/>
        <w:rPr>
          <w:lang w:val="pt-PT"/>
        </w:rPr>
      </w:pPr>
      <w:r>
        <w:t>Limites e cautelas</w:t>
      </w:r>
    </w:p>
    <w:p w14:paraId="39BC25DF" w14:textId="77777777" w:rsidR="00985054" w:rsidRPr="00984171" w:rsidRDefault="00000000">
      <w:pPr>
        <w:rPr>
          <w:lang w:val="pt-PT"/>
        </w:rPr>
      </w:pPr>
      <w:r>
        <w:t>A remuneração horária mediana disponível refere-se a 2022. A percentagem de trabalhadores com baixos salários foi excluída porque o limiar é definido relativamente à mediana nacional e pode apresentar como favorável uma economia com salários generalizadamente baixos.</w:t>
      </w:r>
    </w:p>
    <w:p w14:paraId="0205BAE0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30DED534" w14:textId="77777777" w:rsidR="00985054" w:rsidRDefault="00000000">
      <w:pPr>
        <w:pStyle w:val="Ttulo1"/>
        <w:spacing w:after="80" w:before="120"/>
      </w:pPr>
      <w:r>
        <w:t>5.4 Educação e capacidades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4E032D72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A5FDB6" w14:textId="77777777" w:rsidR="00985054" w:rsidRPr="00984171" w:rsidRDefault="00000000">
            <w:pPr>
              <w:spacing w:after="0" w:line="269" w:lineRule="auto"/>
              <w:rPr>
                <w:lang w:val="pt-PT"/>
              </w:rPr>
            </w:pPr>
            <w:r>
              <w:t>PORTUGAL  Posição: 15.º  ·  Pontuação: 44,6581  ·  PISA 2025 incorporado.</w:t>
            </w:r>
          </w:p>
        </w:tc>
      </w:tr>
    </w:tbl>
    <w:p w14:paraId="6AF351D7" w14:textId="77777777" w:rsidR="00985054" w:rsidRPr="00984171" w:rsidRDefault="00985054">
      <w:pPr>
        <w:spacing w:after="80"/>
        <w:rPr>
          <w:lang w:val="pt-PT"/>
        </w:rPr>
      </w:pPr>
    </w:p>
    <w:p w14:paraId="1397A6BC" w14:textId="77777777" w:rsidR="00985054" w:rsidRPr="00984171" w:rsidRDefault="00000000">
      <w:pPr>
        <w:pStyle w:val="Ttulo2"/>
        <w:spacing w:after="80" w:before="120"/>
        <w:rPr>
          <w:lang w:val="pt-PT"/>
        </w:rPr>
      </w:pPr>
      <w:r>
        <w:t>Objeto de medição</w:t>
      </w:r>
    </w:p>
    <w:p w14:paraId="3BE43710" w14:textId="77777777" w:rsidR="00985054" w:rsidRPr="00984171" w:rsidRDefault="00000000">
      <w:pPr>
        <w:spacing w:after="80"/>
        <w:rPr>
          <w:lang w:val="pt-PT"/>
        </w:rPr>
      </w:pPr>
      <w:r>
        <w:rPr>
          <w:sz w:val="20"/>
        </w:rPr>
        <w:t>A dimensão combina resultados de aprendizagem, stock de qualificações da população adulta, renovação geracional, abandono escolar e capacidade de adaptação ao longo da vida. Evita reduzir educação a uma única coorte ou grau.</w:t>
      </w:r>
    </w:p>
    <w:p w14:paraId="3D214691" w14:textId="77777777" w:rsidR="00985054" w:rsidRPr="00984171" w:rsidRDefault="00000000">
      <w:pPr>
        <w:pStyle w:val="Ttulo2"/>
        <w:spacing w:after="80" w:before="120"/>
        <w:rPr>
          <w:lang w:val="pt-PT"/>
        </w:rPr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555425B5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9CF5C7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8DA99C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B0A91A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14:paraId="282F494F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773BD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PISA; qualificações; abandono; aprendizagem; competências digitais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5FCB1D" w14:textId="77777777" w:rsidR="00985054" w:rsidRDefault="00000000">
            <w:pPr>
              <w:spacing w:after="0" w:line="252" w:lineRule="auto"/>
            </w:pPr>
            <w:r>
              <w:t>2023–2026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FFECE1" w14:textId="77777777" w:rsidR="00985054" w:rsidRDefault="00000000">
            <w:pPr>
              <w:spacing w:after="0" w:line="252" w:lineRule="auto"/>
            </w:pPr>
            <w:r>
              <w:t>OCDE PISA; Eurostat; EIS 2026</w:t>
            </w:r>
          </w:p>
        </w:tc>
      </w:tr>
    </w:tbl>
    <w:p w14:paraId="391C1FCF" w14:textId="77777777" w:rsidR="00985054" w:rsidRPr="00984171" w:rsidRDefault="00000000">
      <w:pPr>
        <w:pStyle w:val="Ttulo2"/>
        <w:spacing w:after="80" w:before="120"/>
        <w:rPr>
          <w:lang w:val="pt-PT"/>
        </w:rPr>
      </w:pPr>
      <w:r>
        <w:t>Decisão da auditoria</w:t>
      </w:r>
    </w:p>
    <w:p w14:paraId="06FD2650" w14:textId="77777777" w:rsidR="00985054" w:rsidRPr="00984171" w:rsidRDefault="00000000">
      <w:pPr>
        <w:spacing w:after="80"/>
        <w:rPr>
          <w:lang w:val="pt-PT"/>
        </w:rPr>
      </w:pPr>
      <w:r>
        <w:rPr>
          <w:sz w:val="20"/>
        </w:rPr>
        <w:t>Portugal sobe de 17.º para 15.º na Educação, de 42,0940 para 44,6581 pontos. As três subdimensões permanecem equiponderadas; o PISA representa 1/3 da dimensão. A posição no ICE-06 melhora de 16.º para 14.º, apesar da descida da média de 477,6667 para 468,0000 pontos.</w:t>
      </w:r>
    </w:p>
    <w:p w14:paraId="38B383EF" w14:textId="77777777" w:rsidR="00985054" w:rsidRPr="00984171" w:rsidRDefault="00000000">
      <w:pPr>
        <w:pStyle w:val="Ttulo2"/>
        <w:spacing w:after="80" w:before="120"/>
        <w:rPr>
          <w:lang w:val="pt-PT"/>
        </w:rPr>
      </w:pPr>
      <w:r>
        <w:t>Limites e cautelas</w:t>
      </w:r>
    </w:p>
    <w:p w14:paraId="59D93C7E" w14:textId="77777777" w:rsidR="00985054" w:rsidRPr="00984171" w:rsidRDefault="00000000">
      <w:pPr>
        <w:spacing w:after="80"/>
        <w:rPr>
          <w:lang w:val="pt-PT"/>
        </w:rPr>
      </w:pPr>
      <w:r>
        <w:rPr>
          <w:sz w:val="20"/>
        </w:rPr>
        <w:t>Os anos de referência continuam a diferir entre indicadores. O PISA 2025 é observado para os 27 países, incluindo o Luxemburgo. O cálculo utiliza pontuações publicadas arredondadas a inteiros por área; as posições descrevem estimativas pontuais e não diferenças necessariamente significativas.</w:t>
      </w:r>
    </w:p>
    <w:p w14:paraId="7DF2915A" w14:textId="77777777" w:rsidR="00985054" w:rsidRDefault="00000000">
      <w:pPr>
        <w:pStyle w:val="Ttulo2"/>
        <w:spacing w:after="80" w:before="120"/>
      </w:pPr>
      <w:r>
        <w:t>Decomposição da dimensão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4320"/>
        <w:gridCol w:w="1224"/>
        <w:gridCol w:w="2232"/>
      </w:tblGrid>
      <w:tr w:rsidR="00985054" w14:paraId="601EC730" w14:textId="77777777">
        <w:trPr>
          <w:tblHeader/>
          <w:jc w:val="center"/>
          <w:cantSplit/>
        </w:trPr>
        <w:tc>
          <w:tcPr>
            <w:tcW w:w="1512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BF12E5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Subdimensão</w:t>
            </w:r>
          </w:p>
        </w:tc>
        <w:tc>
          <w:tcPr>
            <w:tcW w:w="4320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44B5EF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w="1224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044407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Ano</w:t>
            </w:r>
          </w:p>
        </w:tc>
        <w:tc>
          <w:tcPr>
            <w:tcW w:w="2232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B28ED7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Portugal</w:t>
            </w:r>
          </w:p>
        </w:tc>
      </w:tr>
      <w:tr w:rsidR="00985054" w14:paraId="64222407" w14:textId="77777777">
        <w:trPr>
          <w:jc w:val="center"/>
          <w:cantSplit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CC6AA9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Resultados escolares</w:t>
            </w:r>
          </w:p>
        </w:tc>
        <w:tc>
          <w:tcPr>
            <w:tcW w:w="432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24904A" w14:textId="77777777" w:rsidR="00985054" w:rsidRPr="00984171" w:rsidRDefault="00000000">
            <w:pPr>
              <w:spacing w:after="20" w:line="252" w:lineRule="auto" w:before="20"/>
              <w:rPr>
                <w:lang w:val="pt-PT"/>
              </w:rPr>
            </w:pPr>
            <w:r>
              <w:rPr>
                <w:sz w:val="18"/>
              </w:rPr>
              <w:t>Média PISA: matemática, leitura e ciências</w:t>
            </w:r>
          </w:p>
        </w:tc>
        <w:tc>
          <w:tcPr>
            <w:tcW w:w="12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C037E1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2025</w:t>
            </w: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2C9A23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468,0 pontos</w:t>
            </w:r>
          </w:p>
        </w:tc>
      </w:tr>
      <w:tr w:rsidR="00985054" w14:paraId="72F4DEA7" w14:textId="77777777">
        <w:trPr>
          <w:jc w:val="center"/>
          <w:cantSplit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CD0F4A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Qualificações e renovação</w:t>
            </w:r>
          </w:p>
        </w:tc>
        <w:tc>
          <w:tcPr>
            <w:tcW w:w="4320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D04F31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25–64 com pelo menos secundário</w:t>
            </w:r>
          </w:p>
        </w:tc>
        <w:tc>
          <w:tcPr>
            <w:tcW w:w="122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7AE551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2025</w:t>
            </w:r>
          </w:p>
        </w:tc>
        <w:tc>
          <w:tcPr>
            <w:tcW w:w="223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BC1816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64,3%</w:t>
            </w:r>
          </w:p>
        </w:tc>
      </w:tr>
      <w:tr w:rsidR="00985054" w14:paraId="186CEF5F" w14:textId="77777777">
        <w:trPr>
          <w:jc w:val="center"/>
          <w:cantSplit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0EA4A1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Qualificações e renovação</w:t>
            </w:r>
          </w:p>
        </w:tc>
        <w:tc>
          <w:tcPr>
            <w:tcW w:w="432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7CE86FC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25–64 com ensino superior</w:t>
            </w:r>
          </w:p>
        </w:tc>
        <w:tc>
          <w:tcPr>
            <w:tcW w:w="12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1D4ADC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2025</w:t>
            </w: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CDC78B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32,7%</w:t>
            </w:r>
          </w:p>
        </w:tc>
      </w:tr>
      <w:tr w:rsidR="00985054" w14:paraId="32AD2F11" w14:textId="77777777">
        <w:trPr>
          <w:jc w:val="center"/>
          <w:cantSplit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27DB1E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Qualificações e renovação</w:t>
            </w:r>
          </w:p>
        </w:tc>
        <w:tc>
          <w:tcPr>
            <w:tcW w:w="4320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0DCBF0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25–34 com ensino superior</w:t>
            </w:r>
          </w:p>
        </w:tc>
        <w:tc>
          <w:tcPr>
            <w:tcW w:w="122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559F50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EIS 2026</w:t>
            </w:r>
          </w:p>
        </w:tc>
        <w:tc>
          <w:tcPr>
            <w:tcW w:w="223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CD93D5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42,5%</w:t>
            </w:r>
          </w:p>
        </w:tc>
      </w:tr>
      <w:tr w:rsidR="00985054" w14:paraId="796AB308" w14:textId="77777777">
        <w:trPr>
          <w:jc w:val="center"/>
          <w:cantSplit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F36D1A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Retenção e adaptação</w:t>
            </w:r>
          </w:p>
        </w:tc>
        <w:tc>
          <w:tcPr>
            <w:tcW w:w="432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AD54AF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Abandono precoce 18–24</w:t>
            </w:r>
          </w:p>
        </w:tc>
        <w:tc>
          <w:tcPr>
            <w:tcW w:w="12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D96C067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2025</w:t>
            </w: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5FE898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6,1%; menor é melhor</w:t>
            </w:r>
          </w:p>
        </w:tc>
      </w:tr>
      <w:tr w:rsidR="00985054" w14:paraId="1AF89C8E" w14:textId="77777777">
        <w:trPr>
          <w:jc w:val="center"/>
          <w:cantSplit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63335E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Retenção e adaptação</w:t>
            </w:r>
          </w:p>
        </w:tc>
        <w:tc>
          <w:tcPr>
            <w:tcW w:w="4320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B6618F" w14:textId="77777777" w:rsidR="00985054" w:rsidRPr="00984171" w:rsidRDefault="00000000">
            <w:pPr>
              <w:spacing w:after="20" w:line="252" w:lineRule="auto" w:before="20"/>
              <w:rPr>
                <w:lang w:val="pt-PT"/>
              </w:rPr>
            </w:pPr>
            <w:r>
              <w:rPr>
                <w:sz w:val="18"/>
              </w:rPr>
              <w:t>Aprendizagem ao longo da vida</w:t>
            </w:r>
          </w:p>
        </w:tc>
        <w:tc>
          <w:tcPr>
            <w:tcW w:w="122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C97E92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EIS 2026</w:t>
            </w:r>
          </w:p>
        </w:tc>
        <w:tc>
          <w:tcPr>
            <w:tcW w:w="223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0975CB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16,9%</w:t>
            </w:r>
          </w:p>
        </w:tc>
      </w:tr>
      <w:tr w:rsidR="00985054" w14:paraId="6F5D575B" w14:textId="77777777">
        <w:trPr>
          <w:jc w:val="center"/>
          <w:cantSplit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9AA2B7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Retenção e adaptação</w:t>
            </w:r>
          </w:p>
        </w:tc>
        <w:tc>
          <w:tcPr>
            <w:tcW w:w="432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6129FD" w14:textId="77777777" w:rsidR="00985054" w:rsidRPr="00984171" w:rsidRDefault="00000000">
            <w:pPr>
              <w:spacing w:after="20" w:line="252" w:lineRule="auto" w:before="20"/>
              <w:rPr>
                <w:lang w:val="pt-PT"/>
              </w:rPr>
            </w:pPr>
            <w:r>
              <w:rPr>
                <w:sz w:val="18"/>
              </w:rPr>
              <w:t>Competências digitais acima do básico</w:t>
            </w:r>
          </w:p>
        </w:tc>
        <w:tc>
          <w:tcPr>
            <w:tcW w:w="122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3948AC7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EIS 2026</w:t>
            </w:r>
          </w:p>
        </w:tc>
        <w:tc>
          <w:tcPr>
            <w:tcW w:w="223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9CD326" w14:textId="77777777" w:rsidR="00985054" w:rsidRDefault="00000000">
            <w:pPr>
              <w:spacing w:after="20" w:line="252" w:lineRule="auto" w:before="20"/>
            </w:pPr>
            <w:r>
              <w:rPr>
                <w:sz w:val="18"/>
              </w:rPr>
              <w:t>31,97%</w:t>
            </w:r>
          </w:p>
        </w:tc>
      </w:tr>
    </w:tbl>
    <w:p w14:paraId="6AED363E" w14:textId="77777777" w:rsidR="00985054" w:rsidRDefault="00000000">
      <w:r>
        <w:br w:type="page"/>
      </w:r>
    </w:p>
    <w:p w14:paraId="2946CFDA" w14:textId="77777777" w:rsidR="00985054" w:rsidRDefault="00000000">
      <w:pPr>
        <w:pStyle w:val="Ttulo1"/>
      </w:pPr>
      <w:r>
        <w:t>5.5 Capacidade de inovação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59CA2515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PORTUGAL  Posição: 14.º  ·  Pontuação: 51,2340  ·  EIS 2026 restrito aos blocos 1.x–3.x.</w:t>
            </w:r>
          </w:p>
        </w:tc>
      </w:tr>
    </w:tbl>
    <w:p w14:paraId="3AFD7DCE" w14:textId="77777777" w:rsidR="00985054" w:rsidRPr="00984171" w:rsidRDefault="00985054">
      <w:pPr>
        <w:spacing w:after="40"/>
        <w:rPr>
          <w:lang w:val="pt-PT"/>
        </w:rPr>
      </w:pPr>
    </w:p>
    <w:p w14:paraId="29D0263F" w14:textId="77777777" w:rsidR="00985054" w:rsidRPr="00984171" w:rsidRDefault="00000000">
      <w:pPr>
        <w:pStyle w:val="Ttulo2"/>
        <w:rPr>
          <w:lang w:val="pt-PT"/>
        </w:rPr>
      </w:pPr>
      <w:r>
        <w:t>Objeto de medição</w:t>
      </w:r>
    </w:p>
    <w:p w14:paraId="315813A2" w14:textId="77777777" w:rsidR="00985054" w:rsidRPr="00984171" w:rsidRDefault="00000000">
      <w:pPr>
        <w:rPr>
          <w:lang w:val="pt-PT"/>
        </w:rPr>
      </w:pPr>
      <w:r>
        <w:t>A Inovação mede capacidades e atividades inovadoras através dos blocos 1.x–3.x do European Innovation Scoreboard 2026: condições de enquadramento, investimentos e atividades de inovação. Os impactos 4.x são deliberadamente excluídos.</w:t>
      </w:r>
    </w:p>
    <w:p w14:paraId="1AF5F20A" w14:textId="77777777" w:rsidR="00985054" w:rsidRDefault="00000000">
      <w:pPr>
        <w:pStyle w:val="Ttulo2"/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0B55AB91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532858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3FB972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BA1F74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14:paraId="1A8AE751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Indicadores EIS 1.x–3.x, agregados em três pilares equiponderados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A76BA2" w14:textId="77777777" w:rsidR="00985054" w:rsidRDefault="00000000">
            <w:pPr>
              <w:spacing w:after="0" w:line="252" w:lineRule="auto"/>
            </w:pPr>
            <w:r>
              <w:t>2026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Comissão Europeia · European Innovation Scoreboard 2026</w:t>
            </w:r>
          </w:p>
        </w:tc>
      </w:tr>
    </w:tbl>
    <w:p w14:paraId="5DD8DB3A" w14:textId="77777777" w:rsidR="00985054" w:rsidRDefault="00000000">
      <w:pPr>
        <w:pStyle w:val="Ttulo2"/>
      </w:pPr>
      <w:r>
        <w:t>Decisão da auditoria</w:t>
      </w:r>
    </w:p>
    <w:p w14:paraId="635F20E0" w14:textId="77777777" w:rsidR="00985054" w:rsidRPr="00984171" w:rsidRDefault="00000000">
      <w:pPr>
        <w:rPr>
          <w:lang w:val="pt-PT"/>
        </w:rPr>
      </w:pPr>
      <w:r>
        <w:t>Especificação consolidada: Portugal 14.º, com 51,2340 pontos. Os três pilares — 1.x, 2.x e 3.x — recebem pesos iguais; dentro de cada pilar, os indicadores recebem pesos iguais.</w:t>
      </w:r>
    </w:p>
    <w:p w14:paraId="537D254A" w14:textId="77777777" w:rsidR="00985054" w:rsidRPr="00984171" w:rsidRDefault="00000000">
      <w:pPr>
        <w:pStyle w:val="Ttulo2"/>
        <w:rPr>
          <w:lang w:val="pt-PT"/>
        </w:rPr>
      </w:pPr>
      <w:r>
        <w:t>Limites e cautelas</w:t>
      </w:r>
    </w:p>
    <w:p w14:paraId="030C61A7" w14:textId="77777777" w:rsidR="00985054" w:rsidRPr="00984171" w:rsidRDefault="00000000">
      <w:pPr>
        <w:rPr>
          <w:lang w:val="pt-PT"/>
        </w:rPr>
      </w:pPr>
      <w:r>
        <w:t>O EIS é um sistema composto da Comissão Europeia. A matriz preserva a decomposição integral para auditoria, mas o ICE retém apenas 1.x–3.x. Esta delimitação separa capacidades e atividades inovadoras dos seus impactos económicos.</w:t>
      </w:r>
    </w:p>
    <w:p w14:paraId="0D0AE803" w14:textId="77777777" w:rsidR="00985054" w:rsidRPr="00984171" w:rsidRDefault="00000000">
      <w:pPr>
        <w:pStyle w:val="Ttulo2"/>
        <w:rPr>
          <w:lang w:val="pt-PT"/>
        </w:rPr>
      </w:pPr>
      <w:r>
        <w:t>Indicadores operacionais retidos</w:t>
      </w:r>
    </w:p>
    <w:p w14:paraId="7673723D" w14:textId="77777777" w:rsidR="00985054" w:rsidRDefault="00000000">
      <w:r>
        <w:t>O modelo principal utiliza apenas os indicadores 1.x–3.x. Os blocos 4.x ficam excluídos: em particular, 4.2.1 e 4.2.2 já entram na dimensão de Competitividade externa, pelo que a sua inclusão na Inovação duplicaria diretamente os mesmos dados.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7776"/>
      </w:tblGrid>
      <w:tr w:rsidR="00985054" w14:paraId="149AE15C" w14:textId="77777777">
        <w:trPr>
          <w:tblHeader/>
          <w:jc w:val="center"/>
        </w:trPr>
        <w:tc>
          <w:tcPr>
            <w:tcW w:w="1512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F27301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Código EIS</w:t>
            </w:r>
          </w:p>
        </w:tc>
        <w:tc>
          <w:tcPr>
            <w:tcW w:w="777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32CACE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</w:t>
            </w:r>
          </w:p>
        </w:tc>
      </w:tr>
      <w:tr w:rsidR="00985054" w14:paraId="29507A03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C43375" w14:textId="77777777" w:rsidR="00985054" w:rsidRDefault="00000000">
            <w:pPr>
              <w:spacing w:after="0" w:line="252" w:lineRule="auto"/>
            </w:pPr>
            <w:r>
              <w:t>1.1.1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F6D4DA" w14:textId="77777777" w:rsidR="00985054" w:rsidRDefault="00000000">
            <w:pPr>
              <w:spacing w:after="0" w:line="252" w:lineRule="auto"/>
            </w:pPr>
            <w:r>
              <w:t>Novos doutorados</w:t>
            </w:r>
          </w:p>
        </w:tc>
      </w:tr>
      <w:tr w:rsidR="00985054" w14:paraId="50185511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6599E9" w14:textId="77777777" w:rsidR="00985054" w:rsidRDefault="00000000">
            <w:pPr>
              <w:spacing w:after="0" w:line="252" w:lineRule="auto"/>
            </w:pPr>
            <w:r>
              <w:t>1.1.2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7CE4ACC" w14:textId="77777777" w:rsidR="00985054" w:rsidRDefault="00000000">
            <w:pPr>
              <w:spacing w:after="0" w:line="252" w:lineRule="auto"/>
            </w:pPr>
            <w:r>
              <w:t>População com ensino superior</w:t>
            </w:r>
          </w:p>
        </w:tc>
      </w:tr>
      <w:tr w:rsidR="00985054" w:rsidRPr="00796AB2" w14:paraId="40275C9C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8448AA" w14:textId="77777777" w:rsidR="00985054" w:rsidRDefault="00000000">
            <w:pPr>
              <w:spacing w:after="0" w:line="252" w:lineRule="auto"/>
            </w:pPr>
            <w:r>
              <w:t>1.1.3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DE47347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Aprendizagem ao longo da vida</w:t>
            </w:r>
          </w:p>
        </w:tc>
      </w:tr>
      <w:tr w:rsidR="00985054" w14:paraId="7BC0CD89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18A337" w14:textId="77777777" w:rsidR="00985054" w:rsidRDefault="00000000">
            <w:pPr>
              <w:spacing w:after="0" w:line="252" w:lineRule="auto"/>
            </w:pPr>
            <w:r>
              <w:t>1.2.1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3A46F3" w14:textId="77777777" w:rsidR="00985054" w:rsidRDefault="00000000">
            <w:pPr>
              <w:spacing w:after="0" w:line="252" w:lineRule="auto"/>
            </w:pPr>
            <w:r>
              <w:t>Copublicações científicas internacionais</w:t>
            </w:r>
          </w:p>
        </w:tc>
      </w:tr>
      <w:tr w:rsidR="00985054" w:rsidRPr="00796AB2" w14:paraId="39ECD066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9A0B3D" w14:textId="77777777" w:rsidR="00985054" w:rsidRDefault="00000000">
            <w:pPr>
              <w:spacing w:after="0" w:line="252" w:lineRule="auto"/>
            </w:pPr>
            <w:r>
              <w:t>1.2.2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ADF069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Publicações entre as 10% mais citadas</w:t>
            </w:r>
          </w:p>
        </w:tc>
      </w:tr>
      <w:tr w:rsidR="00985054" w:rsidRPr="00796AB2" w14:paraId="3B9D85B5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03B43E" w14:textId="77777777" w:rsidR="00985054" w:rsidRDefault="00000000">
            <w:pPr>
              <w:spacing w:after="0" w:line="252" w:lineRule="auto"/>
            </w:pPr>
            <w:r>
              <w:t>1.2.3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268A8A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Doutorandos estrangeiros</w:t>
            </w:r>
          </w:p>
        </w:tc>
      </w:tr>
      <w:tr w:rsidR="00985054" w:rsidRPr="00796AB2" w14:paraId="34FF7353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1F45B9" w14:textId="77777777" w:rsidR="00985054" w:rsidRDefault="00000000">
            <w:pPr>
              <w:spacing w:after="0" w:line="252" w:lineRule="auto"/>
            </w:pPr>
            <w:r>
              <w:t>1.3.1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C2A34C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Acesso à Internet de alta velocidade</w:t>
            </w:r>
          </w:p>
        </w:tc>
      </w:tr>
      <w:tr w:rsidR="00985054" w:rsidRPr="00796AB2" w14:paraId="1F74A6CF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F81364" w14:textId="77777777" w:rsidR="00985054" w:rsidRDefault="00000000">
            <w:pPr>
              <w:spacing w:after="0" w:line="252" w:lineRule="auto"/>
            </w:pPr>
            <w:r>
              <w:t>1.3.2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0CADCF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Competências digitais acima do básico</w:t>
            </w:r>
          </w:p>
        </w:tc>
      </w:tr>
      <w:tr w:rsidR="00985054" w:rsidRPr="00796AB2" w14:paraId="54EA9529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30070C" w14:textId="77777777" w:rsidR="00985054" w:rsidRDefault="00000000">
            <w:pPr>
              <w:spacing w:after="0" w:line="252" w:lineRule="auto"/>
            </w:pPr>
            <w:r>
              <w:t>2.1.1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8B4BE0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Despesa pública em I&amp;D</w:t>
            </w:r>
          </w:p>
        </w:tc>
      </w:tr>
      <w:tr w:rsidR="00985054" w:rsidRPr="00796AB2" w14:paraId="144E7DB3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6915FE" w14:textId="77777777" w:rsidR="00985054" w:rsidRDefault="00000000">
            <w:pPr>
              <w:spacing w:after="0" w:line="252" w:lineRule="auto"/>
            </w:pPr>
            <w:r>
              <w:t>2.1.2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7D91C8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Capital de risco</w:t>
            </w:r>
          </w:p>
        </w:tc>
      </w:tr>
      <w:tr w:rsidR="00985054" w:rsidRPr="00796AB2" w14:paraId="49D66C37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38FFEA" w14:textId="77777777" w:rsidR="00985054" w:rsidRDefault="00000000">
            <w:pPr>
              <w:spacing w:after="0" w:line="252" w:lineRule="auto"/>
            </w:pPr>
            <w:r>
              <w:t>2.1.3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FBE7D36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Apoio público à I&amp;D empresarial</w:t>
            </w:r>
          </w:p>
        </w:tc>
      </w:tr>
      <w:tr w:rsidR="00985054" w:rsidRPr="00796AB2" w14:paraId="561DA7F1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2024D87" w14:textId="77777777" w:rsidR="00985054" w:rsidRDefault="00000000">
            <w:pPr>
              <w:spacing w:after="0" w:line="252" w:lineRule="auto"/>
            </w:pPr>
            <w:r>
              <w:t>2.2.1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64FBD2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Despesa empresarial em I&amp;D</w:t>
            </w:r>
          </w:p>
        </w:tc>
      </w:tr>
      <w:tr w:rsidR="00985054" w14:paraId="26863C2C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C09DBE" w14:textId="77777777" w:rsidR="00985054" w:rsidRDefault="00000000">
            <w:pPr>
              <w:spacing w:after="0" w:line="252" w:lineRule="auto"/>
            </w:pPr>
            <w:r>
              <w:t>2.2.2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A707004" w14:textId="77777777" w:rsidR="00985054" w:rsidRDefault="00000000">
            <w:pPr>
              <w:spacing w:after="0" w:line="252" w:lineRule="auto"/>
            </w:pPr>
            <w:r>
              <w:t>Despesa de inovação não-I&amp;D</w:t>
            </w:r>
          </w:p>
        </w:tc>
      </w:tr>
      <w:tr w:rsidR="00985054" w:rsidRPr="00796AB2" w14:paraId="44278762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BF1AFC" w14:textId="77777777" w:rsidR="00985054" w:rsidRDefault="00000000">
            <w:pPr>
              <w:spacing w:after="0" w:line="252" w:lineRule="auto"/>
            </w:pPr>
            <w:r>
              <w:t>2.2.3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7AF575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Despesa de inovação por trabalhador</w:t>
            </w:r>
          </w:p>
        </w:tc>
      </w:tr>
      <w:tr w:rsidR="00985054" w:rsidRPr="00796AB2" w14:paraId="24799DDA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819A6F" w14:textId="77777777" w:rsidR="00985054" w:rsidRDefault="00000000">
            <w:pPr>
              <w:spacing w:after="0" w:line="252" w:lineRule="auto"/>
            </w:pPr>
            <w:r>
              <w:t>2.3.1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0E7A60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Computação em nuvem</w:t>
            </w:r>
          </w:p>
        </w:tc>
      </w:tr>
      <w:tr w:rsidR="00985054" w14:paraId="415EB006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8A97A1A" w14:textId="77777777" w:rsidR="00985054" w:rsidRDefault="00000000">
            <w:pPr>
              <w:spacing w:after="0" w:line="252" w:lineRule="auto"/>
            </w:pPr>
            <w:r>
              <w:t>2.3.2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BE2358" w14:textId="77777777" w:rsidR="00985054" w:rsidRDefault="00000000">
            <w:pPr>
              <w:spacing w:after="0" w:line="252" w:lineRule="auto"/>
            </w:pPr>
            <w:r>
              <w:t>Especialistas TIC empregados</w:t>
            </w:r>
          </w:p>
        </w:tc>
      </w:tr>
      <w:tr w:rsidR="00985054" w14:paraId="5F7F8A39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893B3D7" w14:textId="77777777" w:rsidR="00985054" w:rsidRDefault="00000000">
            <w:pPr>
              <w:spacing w:after="0" w:line="252" w:lineRule="auto"/>
            </w:pPr>
            <w:r>
              <w:t>3.1.1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5671AE6" w14:textId="77777777" w:rsidR="00985054" w:rsidRDefault="00000000">
            <w:pPr>
              <w:spacing w:after="0" w:line="252" w:lineRule="auto"/>
            </w:pPr>
            <w:r>
              <w:t>PME com inovação de produto</w:t>
            </w:r>
          </w:p>
        </w:tc>
      </w:tr>
      <w:tr w:rsidR="00985054" w:rsidRPr="00796AB2" w14:paraId="781EE9DC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E68E0A" w14:textId="77777777" w:rsidR="00985054" w:rsidRDefault="00000000">
            <w:pPr>
              <w:spacing w:after="0" w:line="252" w:lineRule="auto"/>
            </w:pPr>
            <w:r>
              <w:t>3.1.2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E3ED99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PME com inovação de processos</w:t>
            </w:r>
          </w:p>
        </w:tc>
      </w:tr>
      <w:tr w:rsidR="00985054" w14:paraId="76AF7741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FE909C" w14:textId="77777777" w:rsidR="00985054" w:rsidRDefault="00000000">
            <w:pPr>
              <w:spacing w:after="0" w:line="252" w:lineRule="auto"/>
            </w:pPr>
            <w:r>
              <w:t>3.2.1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FE9BE5" w14:textId="77777777" w:rsidR="00985054" w:rsidRDefault="00000000">
            <w:pPr>
              <w:spacing w:after="0" w:line="252" w:lineRule="auto"/>
            </w:pPr>
            <w:r>
              <w:t>PME inovadoras que colaboram</w:t>
            </w:r>
          </w:p>
        </w:tc>
      </w:tr>
      <w:tr w:rsidR="00985054" w14:paraId="39842620" w14:textId="77777777">
        <w:trPr>
          <w:jc w:val="center"/>
        </w:trPr>
        <w:tc>
          <w:tcPr>
            <w:tcW w:w="151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47EFB5D" w14:textId="77777777" w:rsidR="00985054" w:rsidRDefault="00000000">
            <w:pPr>
              <w:spacing w:after="0" w:line="252" w:lineRule="auto"/>
            </w:pPr>
            <w:r>
              <w:t>3.2.2</w:t>
            </w:r>
          </w:p>
        </w:tc>
        <w:tc>
          <w:tcPr>
            <w:tcW w:w="777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7DF746" w14:textId="77777777" w:rsidR="00985054" w:rsidRDefault="00000000">
            <w:pPr>
              <w:spacing w:after="0" w:line="252" w:lineRule="auto"/>
            </w:pPr>
            <w:r>
              <w:t>Copublicações público-privadas</w:t>
            </w:r>
          </w:p>
        </w:tc>
      </w:tr>
      <w:tr w:rsidR="00985054" w:rsidRPr="00796AB2" w14:paraId="58E584AE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B77078" w14:textId="77777777" w:rsidR="00985054" w:rsidRDefault="00000000">
            <w:pPr>
              <w:spacing w:after="0" w:line="252" w:lineRule="auto"/>
            </w:pPr>
            <w:r>
              <w:t>3.2.3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627314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Mobilidade profissional de RHCT</w:t>
            </w:r>
          </w:p>
        </w:tc>
      </w:tr>
      <w:tr w:rsidR="00985054" w:rsidRPr="00796AB2" w14:paraId="58E584AE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B77078" w14:textId="77777777" w:rsidR="00985054" w:rsidRDefault="00000000">
            <w:pPr>
              <w:spacing w:after="0" w:line="252" w:lineRule="auto"/>
            </w:pPr>
            <w:r>
              <w:t>3.3.1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627314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Pedidos de patente PCT</w:t>
            </w:r>
          </w:p>
        </w:tc>
      </w:tr>
      <w:tr w:rsidR="00985054" w:rsidRPr="00796AB2" w14:paraId="58E584AE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B77078" w14:textId="77777777" w:rsidR="00985054" w:rsidRDefault="00000000">
            <w:pPr>
              <w:spacing w:after="0" w:line="252" w:lineRule="auto"/>
            </w:pPr>
            <w:r>
              <w:t>3.3.2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627314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Pedidos de marcas</w:t>
            </w:r>
          </w:p>
        </w:tc>
      </w:tr>
      <w:tr w:rsidR="00985054" w:rsidRPr="00796AB2" w14:paraId="58E584AE" w14:textId="77777777">
        <w:trPr>
          <w:jc w:val="center"/>
        </w:trPr>
        <w:tc>
          <w:tcPr>
            <w:tcW w:w="151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B77078" w14:textId="77777777" w:rsidR="00985054" w:rsidRDefault="00000000">
            <w:pPr>
              <w:spacing w:after="0" w:line="252" w:lineRule="auto"/>
            </w:pPr>
            <w:r>
              <w:t>3.3.3</w:t>
            </w:r>
          </w:p>
        </w:tc>
        <w:tc>
          <w:tcPr>
            <w:tcW w:w="777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627314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Pedidos de desenhos e modelos</w:t>
            </w:r>
          </w:p>
        </w:tc>
      </w:tr>
    </w:tbl>
    <w:p w14:paraId="781FECD0" w14:textId="77777777" w:rsidR="00985054" w:rsidRDefault="00000000">
      <w:pPr>
        <w:pStyle w:val="Ttulo2"/>
      </w:pPr>
      <w:r>
        <w:t>Comparação das especificações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1584"/>
        <w:gridCol w:w="1656"/>
      </w:tblGrid>
      <w:tr w:rsidR="00985054" w14:paraId="64F4A414" w14:textId="77777777">
        <w:trPr>
          <w:tblHeader/>
          <w:jc w:val="center"/>
        </w:trPr>
        <w:tc>
          <w:tcPr>
            <w:tcW w:w="53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CCCD16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Especificação</w:t>
            </w:r>
          </w:p>
        </w:tc>
        <w:tc>
          <w:tcPr>
            <w:tcW w:w="158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E4C9FD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Posição PT</w:t>
            </w:r>
          </w:p>
        </w:tc>
        <w:tc>
          <w:tcPr>
            <w:tcW w:w="1656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25D8A3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Pontuação</w:t>
            </w:r>
          </w:p>
        </w:tc>
      </w:tr>
      <w:tr w:rsidR="00985054" w14:paraId="6B940E49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EIS 1.x–3.x · modelo principal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14.º</w:t>
            </w:r>
          </w:p>
        </w:tc>
        <w:tc>
          <w:tcPr>
            <w:tcW w:w="16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51,2340</w:t>
            </w:r>
          </w:p>
        </w:tc>
      </w:tr>
      <w:tr w:rsidR="00985054" w14:paraId="1EC1482D" w14:textId="77777777">
        <w:trPr>
          <w:jc w:val="center"/>
        </w:trPr>
        <w:tc>
          <w:tcPr>
            <w:tcW w:w="53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SII completo · sensibilidade rejeitada</w:t>
            </w:r>
          </w:p>
        </w:tc>
        <w:tc>
          <w:tcPr>
            <w:tcW w:w="15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15.º</w:t>
            </w:r>
          </w:p>
        </w:tc>
        <w:tc>
          <w:tcPr>
            <w:tcW w:w="165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46,1538</w:t>
            </w:r>
          </w:p>
        </w:tc>
      </w:tr>
      <w:tr w:rsidR="00985054" w14:paraId="250B9C51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Decisão consolidada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14.º</w:t>
            </w:r>
          </w:p>
        </w:tc>
        <w:tc>
          <w:tcPr>
            <w:tcW w:w="16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51,2340</w:t>
            </w:r>
          </w:p>
        </w:tc>
      </w:tr>
    </w:tbl>
    <w:p w14:paraId="4978A106" w14:textId="77777777" w:rsidR="00985054" w:rsidRDefault="00000000">
      <w:r>
        <w:br w:type="page"/>
      </w:r>
    </w:p>
    <w:p w14:paraId="33C6359A" w14:textId="77777777" w:rsidR="00985054" w:rsidRDefault="00000000">
      <w:pPr>
        <w:pStyle w:val="Ttulo1"/>
      </w:pPr>
      <w:r>
        <w:t>5.6 Sofisticação e competitividade externa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520733A0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03274A" w14:textId="77777777" w:rsidR="00985054" w:rsidRPr="00984171" w:rsidRDefault="00000000">
            <w:pPr>
              <w:spacing w:after="0" w:line="269" w:lineRule="auto"/>
              <w:rPr>
                <w:lang w:val="pt-PT"/>
              </w:rPr>
            </w:pPr>
            <w:r>
              <w:t>PORTUGAL  Posição: 25.º  ·  Pontuação: 19,2308  ·  Competitividade externa.</w:t>
            </w:r>
          </w:p>
        </w:tc>
      </w:tr>
    </w:tbl>
    <w:p w14:paraId="7954509F" w14:textId="77777777" w:rsidR="00985054" w:rsidRPr="00984171" w:rsidRDefault="00985054">
      <w:pPr>
        <w:spacing w:after="40"/>
        <w:rPr>
          <w:lang w:val="pt-PT"/>
        </w:rPr>
      </w:pPr>
    </w:p>
    <w:p w14:paraId="32A5D940" w14:textId="77777777" w:rsidR="00985054" w:rsidRPr="00984171" w:rsidRDefault="00000000">
      <w:pPr>
        <w:pStyle w:val="Ttulo2"/>
        <w:rPr>
          <w:lang w:val="pt-PT"/>
        </w:rPr>
      </w:pPr>
      <w:r>
        <w:t>Objeto de medição</w:t>
      </w:r>
    </w:p>
    <w:p w14:paraId="1F8C3EE6" w14:textId="77777777" w:rsidR="00985054" w:rsidRPr="00984171" w:rsidRDefault="00000000">
      <w:pPr>
        <w:rPr>
          <w:lang w:val="pt-PT"/>
        </w:rPr>
      </w:pPr>
      <w:r>
        <w:t>Capta a capacidade da estrutura produtiva para competir internacionalmente em segmentos tecnologicamente sofisticados e intensivos em conhecimento.</w:t>
      </w:r>
    </w:p>
    <w:p w14:paraId="6255BE71" w14:textId="77777777" w:rsidR="00985054" w:rsidRDefault="00000000">
      <w:pPr>
        <w:pStyle w:val="Ttulo2"/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69FAA547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77DA6F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037E96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1C050D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14:paraId="200A8845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381AA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Exportações de média/alta tecnologia e serviços intensivos em conhecimento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B22DAD" w14:textId="77777777" w:rsidR="00985054" w:rsidRDefault="00000000">
            <w:pPr>
              <w:spacing w:after="0" w:line="252" w:lineRule="auto"/>
            </w:pPr>
            <w:r>
              <w:t>2026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8F144D" w14:textId="77777777" w:rsidR="00985054" w:rsidRDefault="00000000">
            <w:pPr>
              <w:spacing w:after="0" w:line="252" w:lineRule="auto"/>
            </w:pPr>
            <w:r>
              <w:t>Comissão Europeia · EIS 2026, 4.2.1–4.2.2</w:t>
            </w:r>
          </w:p>
        </w:tc>
      </w:tr>
    </w:tbl>
    <w:p w14:paraId="4F1A7EAE" w14:textId="77777777" w:rsidR="00985054" w:rsidRDefault="00000000">
      <w:pPr>
        <w:pStyle w:val="Ttulo2"/>
      </w:pPr>
      <w:r>
        <w:t>Decisão da auditoria</w:t>
      </w:r>
    </w:p>
    <w:p w14:paraId="467ABB38" w14:textId="77777777" w:rsidR="00985054" w:rsidRPr="00984171" w:rsidRDefault="00000000">
      <w:pPr>
        <w:rPr>
          <w:lang w:val="pt-PT"/>
        </w:rPr>
      </w:pPr>
      <w:r>
        <w:t>Portugal 25.º, com 19,2308 pontos. A dimensão mantém o âmbito delimitado à competitividade externa.</w:t>
      </w:r>
    </w:p>
    <w:p w14:paraId="6D6D1D4C" w14:textId="77777777" w:rsidR="00985054" w:rsidRPr="00984171" w:rsidRDefault="00000000">
      <w:pPr>
        <w:pStyle w:val="Ttulo2"/>
        <w:rPr>
          <w:lang w:val="pt-PT"/>
        </w:rPr>
      </w:pPr>
      <w:r>
        <w:t>Limites e cautelas</w:t>
      </w:r>
    </w:p>
    <w:p w14:paraId="0E09D12B" w14:textId="77777777" w:rsidR="00985054" w:rsidRPr="00984171" w:rsidRDefault="00000000">
      <w:pPr>
        <w:rPr>
          <w:lang w:val="pt-PT"/>
        </w:rPr>
      </w:pPr>
      <w:r>
        <w:t>Não mede toda a competitividade. O crescimento da quota exportadora foi excluído da pontuação porque a posição portuguesa varia excessivamente com a janela temporal; permanece como indicador de trajetória.</w:t>
      </w:r>
    </w:p>
    <w:p w14:paraId="29AA091B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7B2C2A45" w14:textId="77777777" w:rsidR="00985054" w:rsidRDefault="00000000">
      <w:pPr>
        <w:pStyle w:val="Ttulo1"/>
      </w:pPr>
      <w:r>
        <w:t>5.7 Coesão social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0F7885D6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5E949F" w14:textId="77777777" w:rsidR="00985054" w:rsidRPr="00984171" w:rsidRDefault="00000000">
            <w:pPr>
              <w:spacing w:after="0" w:line="269" w:lineRule="auto"/>
              <w:rPr>
                <w:lang w:val="pt-PT"/>
              </w:rPr>
            </w:pPr>
            <w:r>
              <w:t>PORTUGAL  Posição: 17.º  ·  Pontuação: 41,3462  ·  Gini e AROPE equiponderados.</w:t>
            </w:r>
          </w:p>
        </w:tc>
      </w:tr>
    </w:tbl>
    <w:p w14:paraId="1DB30FB4" w14:textId="77777777" w:rsidR="00985054" w:rsidRPr="00984171" w:rsidRDefault="00985054">
      <w:pPr>
        <w:spacing w:after="40"/>
        <w:rPr>
          <w:lang w:val="pt-PT"/>
        </w:rPr>
      </w:pPr>
    </w:p>
    <w:p w14:paraId="796E1F44" w14:textId="77777777" w:rsidR="00985054" w:rsidRPr="00984171" w:rsidRDefault="00000000">
      <w:pPr>
        <w:pStyle w:val="Ttulo2"/>
        <w:rPr>
          <w:lang w:val="pt-PT"/>
        </w:rPr>
      </w:pPr>
      <w:r>
        <w:t>Objeto de medição</w:t>
      </w:r>
    </w:p>
    <w:p w14:paraId="10B25A5C" w14:textId="77777777" w:rsidR="00985054" w:rsidRPr="00984171" w:rsidRDefault="00000000">
      <w:pPr>
        <w:rPr>
          <w:lang w:val="pt-PT"/>
        </w:rPr>
      </w:pPr>
      <w:r>
        <w:t>O Gini mede desigualdade distributiva; o AROPE mede risco de pobreza ou exclusão social. A combinação distingue a forma da distribuição da incidência de privação e vulnerabilidade.</w:t>
      </w:r>
    </w:p>
    <w:p w14:paraId="25412934" w14:textId="77777777" w:rsidR="00985054" w:rsidRDefault="00000000">
      <w:pPr>
        <w:pStyle w:val="Ttulo2"/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2C6A326E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D6890E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54BDC4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0106AE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14:paraId="4B49761B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1D6B20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Gini do rendimento disponível e AROPE, ambos invertidos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A350D6" w14:textId="77777777" w:rsidR="00985054" w:rsidRDefault="00000000">
            <w:pPr>
              <w:spacing w:after="0" w:line="252" w:lineRule="auto"/>
            </w:pPr>
            <w:r>
              <w:t>2024–2025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611402" w14:textId="77777777" w:rsidR="00985054" w:rsidRDefault="00000000">
            <w:pPr>
              <w:spacing w:after="0" w:line="252" w:lineRule="auto"/>
            </w:pPr>
            <w:r>
              <w:t>Eurostat · EU-SILC</w:t>
            </w:r>
          </w:p>
        </w:tc>
      </w:tr>
    </w:tbl>
    <w:p w14:paraId="5C44BA81" w14:textId="77777777" w:rsidR="00985054" w:rsidRDefault="00000000">
      <w:pPr>
        <w:pStyle w:val="Ttulo2"/>
      </w:pPr>
      <w:r>
        <w:t>Decisão da auditoria</w:t>
      </w:r>
    </w:p>
    <w:p w14:paraId="53B3D8C1" w14:textId="77777777" w:rsidR="00985054" w:rsidRPr="00984171" w:rsidRDefault="00000000">
      <w:pPr>
        <w:rPr>
          <w:lang w:val="pt-PT"/>
        </w:rPr>
      </w:pPr>
      <w:r>
        <w:t>Portugal 17.º, com 41,3462 pontos. Gini e AROPE permanecem equiponderados.</w:t>
      </w:r>
    </w:p>
    <w:p w14:paraId="358F418D" w14:textId="77777777" w:rsidR="00985054" w:rsidRPr="00984171" w:rsidRDefault="00000000">
      <w:pPr>
        <w:pStyle w:val="Ttulo2"/>
        <w:rPr>
          <w:lang w:val="pt-PT"/>
        </w:rPr>
      </w:pPr>
      <w:r>
        <w:t>Limites e cautelas</w:t>
      </w:r>
    </w:p>
    <w:p w14:paraId="53D2851B" w14:textId="77777777" w:rsidR="00985054" w:rsidRPr="00984171" w:rsidRDefault="00000000">
      <w:pPr>
        <w:rPr>
          <w:lang w:val="pt-PT"/>
        </w:rPr>
      </w:pPr>
      <w:r>
        <w:t>O limiar de pobreza é relativo ao rendimento mediano nacional. O AROPE também incorpora privação material e social severa e intensidade laboral muito baixa.</w:t>
      </w:r>
    </w:p>
    <w:p w14:paraId="4E493034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68CB1B19" w14:textId="77777777" w:rsidR="00985054" w:rsidRDefault="00000000">
      <w:pPr>
        <w:pStyle w:val="Ttulo1"/>
      </w:pPr>
      <w:r>
        <w:t>5.8 Qualidade institucional e das elites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477C0B67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DB709D" w14:textId="77777777" w:rsidR="00985054" w:rsidRPr="00984171" w:rsidRDefault="00000000">
            <w:pPr>
              <w:spacing w:after="0" w:line="269" w:lineRule="auto"/>
              <w:rPr>
                <w:lang w:val="pt-PT"/>
              </w:rPr>
            </w:pPr>
            <w:r>
              <w:t>PORTUGAL  Posição: 16.º  ·  Pontuação: 45,7772  ·  Quatro pilares institucionais.</w:t>
            </w:r>
          </w:p>
        </w:tc>
      </w:tr>
    </w:tbl>
    <w:p w14:paraId="7CCE5C7C" w14:textId="77777777" w:rsidR="00985054" w:rsidRPr="00984171" w:rsidRDefault="00985054">
      <w:pPr>
        <w:spacing w:after="40"/>
        <w:rPr>
          <w:lang w:val="pt-PT"/>
        </w:rPr>
      </w:pPr>
    </w:p>
    <w:p w14:paraId="13BEFABC" w14:textId="77777777" w:rsidR="00985054" w:rsidRPr="00984171" w:rsidRDefault="00000000">
      <w:pPr>
        <w:pStyle w:val="Ttulo2"/>
        <w:rPr>
          <w:lang w:val="pt-PT"/>
        </w:rPr>
      </w:pPr>
      <w:r>
        <w:t>Objeto de medição</w:t>
      </w:r>
    </w:p>
    <w:p w14:paraId="20A5B12D" w14:textId="77777777" w:rsidR="00985054" w:rsidRPr="00984171" w:rsidRDefault="00000000">
      <w:pPr>
        <w:rPr>
          <w:lang w:val="pt-PT"/>
        </w:rPr>
      </w:pPr>
      <w:r>
        <w:t>A dimensão final ultrapassa a versão baseada apenas no WGI e procura medir simultaneamente regras, capacidade de execução, abertura do recrutamento das elites e integridade. Os indicadores biográficos foram excluídos por falta de cobertura comparável e mensurável.</w:t>
      </w:r>
    </w:p>
    <w:p w14:paraId="0F8ACBA4" w14:textId="77777777" w:rsidR="00985054" w:rsidRDefault="00000000">
      <w:pPr>
        <w:pStyle w:val="Ttulo2"/>
      </w:pPr>
      <w:r>
        <w:t>Indicadores, fonte e referência temporal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1080"/>
        <w:gridCol w:w="3528"/>
      </w:tblGrid>
      <w:tr w:rsidR="00985054" w14:paraId="1CB0DA0F" w14:textId="77777777">
        <w:trPr>
          <w:tblHeader/>
          <w:jc w:val="center"/>
        </w:trPr>
        <w:tc>
          <w:tcPr>
            <w:tcW w:w="46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B30035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Indicador(es)</w:t>
            </w:r>
          </w:p>
        </w:tc>
        <w:tc>
          <w:tcPr>
            <w:tcW w:w="108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1BE2D9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DA6064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Fonte institucional</w:t>
            </w:r>
          </w:p>
        </w:tc>
      </w:tr>
      <w:tr w:rsidR="00985054" w:rsidRPr="00796AB2" w14:paraId="6FB74E8D" w14:textId="77777777">
        <w:trPr>
          <w:jc w:val="center"/>
        </w:trPr>
        <w:tc>
          <w:tcPr>
            <w:tcW w:w="46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AA4358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Estado de direito; capacidade; seleção e abertura; integridade</w:t>
            </w:r>
          </w:p>
        </w:tc>
        <w:tc>
          <w:tcPr>
            <w:tcW w:w="108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E67543" w14:textId="77777777" w:rsidR="00985054" w:rsidRDefault="00000000">
            <w:pPr>
              <w:spacing w:after="0" w:line="252" w:lineRule="auto"/>
            </w:pPr>
            <w:r>
              <w:t>WGI: 2025; restantes: último disponível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2D7391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WGI; V-Dem; Comissão Europeia; Pereira &amp; Andrade e Silva (2009)</w:t>
            </w:r>
          </w:p>
        </w:tc>
      </w:tr>
    </w:tbl>
    <w:p w14:paraId="664D5EFF" w14:textId="77777777" w:rsidR="00985054" w:rsidRPr="00984171" w:rsidRDefault="00000000">
      <w:pPr>
        <w:pStyle w:val="Ttulo2"/>
        <w:rPr>
          <w:lang w:val="pt-PT"/>
        </w:rPr>
      </w:pPr>
      <w:r>
        <w:t>Decisão da auditoria</w:t>
      </w:r>
    </w:p>
    <w:p w14:paraId="41424C81" w14:textId="77777777" w:rsidR="00985054" w:rsidRPr="00984171" w:rsidRDefault="00000000">
      <w:pPr>
        <w:rPr>
          <w:lang w:val="pt-PT"/>
        </w:rPr>
      </w:pPr>
      <w:r>
        <w:t>Portugal 16.º, com 45,7772 pontos, após reconstrução integral da dimensão para os 27 países.</w:t>
      </w:r>
    </w:p>
    <w:p w14:paraId="277DD1F9" w14:textId="77777777" w:rsidR="00985054" w:rsidRPr="00984171" w:rsidRDefault="00000000">
      <w:pPr>
        <w:pStyle w:val="Ttulo2"/>
        <w:rPr>
          <w:lang w:val="pt-PT"/>
        </w:rPr>
      </w:pPr>
      <w:r>
        <w:t>Limites e cautelas</w:t>
      </w:r>
    </w:p>
    <w:p w14:paraId="20ED0085" w14:textId="77777777" w:rsidR="00985054" w:rsidRPr="00984171" w:rsidRDefault="00000000">
      <w:pPr>
        <w:rPr>
          <w:lang w:val="pt-PT"/>
        </w:rPr>
      </w:pPr>
      <w:r>
        <w:t>Os indicadores biográficos permanecem excluídos por insuficiência de cobertura harmonizada. O Índice de Liberdade de Escolha dos Votantes é a única fonte académica não oficial da dimensão: foi desenvolvido por Paulo Trigo Pereira e João Andrade e Silva (2009). Os seus parâmetros eleitorais são atualizados com documentação da International IDEA.</w:t>
      </w:r>
    </w:p>
    <w:p w14:paraId="3F39B799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244534C9" w14:textId="77777777" w:rsidR="00985054" w:rsidRDefault="00000000">
      <w:pPr>
        <w:pStyle w:val="Ttulo2"/>
      </w:pPr>
      <w:r>
        <w:t>Decomposição final recuperada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376"/>
      </w:tblGrid>
      <w:tr w:rsidR="00985054" w14:paraId="1E2EE2CF" w14:textId="77777777">
        <w:trPr>
          <w:tblHeader/>
          <w:jc w:val="center"/>
        </w:trPr>
        <w:tc>
          <w:tcPr>
            <w:tcW w:w="6912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06D272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Subdimensão</w:t>
            </w:r>
          </w:p>
        </w:tc>
        <w:tc>
          <w:tcPr>
            <w:tcW w:w="2376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C42792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Posição PT</w:t>
            </w:r>
          </w:p>
        </w:tc>
      </w:tr>
      <w:tr w:rsidR="00985054" w14:paraId="0DE9A8AF" w14:textId="77777777">
        <w:trPr>
          <w:jc w:val="center"/>
        </w:trPr>
        <w:tc>
          <w:tcPr>
            <w:tcW w:w="691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BFDFB7" w14:textId="77777777" w:rsidR="00985054" w:rsidRDefault="00000000">
            <w:pPr>
              <w:spacing w:after="0" w:line="252" w:lineRule="auto"/>
            </w:pPr>
            <w:r>
              <w:t>Estado de direito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F63204" w14:textId="77777777" w:rsidR="00985054" w:rsidRDefault="00000000">
            <w:pPr>
              <w:spacing w:after="0" w:line="252" w:lineRule="auto"/>
            </w:pPr>
            <w:r>
              <w:t>13.º</w:t>
            </w:r>
          </w:p>
        </w:tc>
      </w:tr>
      <w:tr w:rsidR="00985054" w14:paraId="3CC084E3" w14:textId="77777777">
        <w:trPr>
          <w:jc w:val="center"/>
        </w:trPr>
        <w:tc>
          <w:tcPr>
            <w:tcW w:w="691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F90442" w14:textId="77777777" w:rsidR="00985054" w:rsidRDefault="00000000">
            <w:pPr>
              <w:spacing w:after="0" w:line="252" w:lineRule="auto"/>
            </w:pPr>
            <w:r>
              <w:t>Capacidade institucional</w:t>
            </w:r>
          </w:p>
        </w:tc>
        <w:tc>
          <w:tcPr>
            <w:tcW w:w="237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254B25" w14:textId="77777777" w:rsidR="00985054" w:rsidRDefault="00000000">
            <w:pPr>
              <w:spacing w:after="0" w:line="252" w:lineRule="auto"/>
            </w:pPr>
            <w:r>
              <w:t>18.º</w:t>
            </w:r>
          </w:p>
        </w:tc>
      </w:tr>
      <w:tr w:rsidR="00985054" w14:paraId="67B96C0C" w14:textId="77777777">
        <w:trPr>
          <w:jc w:val="center"/>
        </w:trPr>
        <w:tc>
          <w:tcPr>
            <w:tcW w:w="691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B6C604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Seleção e abertura das elites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D76138" w14:textId="77777777" w:rsidR="00985054" w:rsidRDefault="00000000">
            <w:pPr>
              <w:spacing w:after="0" w:line="252" w:lineRule="auto"/>
            </w:pPr>
            <w:r>
              <w:t>17.º</w:t>
            </w:r>
          </w:p>
        </w:tc>
      </w:tr>
      <w:tr w:rsidR="00985054" w14:paraId="668F128F" w14:textId="77777777">
        <w:trPr>
          <w:jc w:val="center"/>
        </w:trPr>
        <w:tc>
          <w:tcPr>
            <w:tcW w:w="691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72E5DF" w14:textId="77777777" w:rsidR="00985054" w:rsidRDefault="00000000">
            <w:pPr>
              <w:spacing w:after="0" w:line="252" w:lineRule="auto"/>
            </w:pPr>
            <w:r>
              <w:t>Integridade e governo aberto</w:t>
            </w:r>
          </w:p>
        </w:tc>
        <w:tc>
          <w:tcPr>
            <w:tcW w:w="237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E969DE" w14:textId="77777777" w:rsidR="00985054" w:rsidRDefault="00000000">
            <w:pPr>
              <w:spacing w:after="0" w:line="252" w:lineRule="auto"/>
            </w:pPr>
            <w:r>
              <w:t>16.º</w:t>
            </w:r>
          </w:p>
        </w:tc>
      </w:tr>
    </w:tbl>
    <w:p w14:paraId="19C7D889" w14:textId="77777777" w:rsidR="00985054" w:rsidRDefault="00000000">
      <w:pPr>
        <w:pStyle w:val="Ttulo2"/>
      </w:pPr>
      <w:r>
        <w:t>Indicadores efetivamente retidos no QIE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496"/>
      </w:tblGrid>
      <w:tr w:rsidR="00985054" w14:paraId="7D4C56CA" w14:textId="77777777">
        <w:trPr>
          <w:tblHeader/>
          <w:jc w:val="center"/>
        </w:trPr>
        <w:tc>
          <w:tcPr>
            <w:tcW w:w="792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CAB86B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Pilar</w:t>
            </w:r>
          </w:p>
        </w:tc>
        <w:tc>
          <w:tcPr>
            <w:tcW w:w="849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11A0A2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Indicadores operacionais</w:t>
            </w:r>
          </w:p>
        </w:tc>
      </w:tr>
      <w:tr w:rsidR="00985054" w:rsidRPr="00796AB2" w14:paraId="460B12D2" w14:textId="77777777">
        <w:trPr>
          <w:jc w:val="center"/>
        </w:trPr>
        <w:tc>
          <w:tcPr>
            <w:tcW w:w="7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AA91D2" w14:textId="77777777" w:rsidR="00985054" w:rsidRDefault="00000000">
            <w:pPr>
              <w:spacing w:after="0" w:line="252" w:lineRule="auto"/>
            </w:pPr>
            <w:r>
              <w:t>A</w:t>
            </w:r>
          </w:p>
        </w:tc>
        <w:tc>
          <w:tcPr>
            <w:tcW w:w="849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EA90AAB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WGI Estado de direito; independência judicial (EU Justice Scoreboard); constrangimentos judiciais e legislativos ao executivo (V-Dem)</w:t>
            </w:r>
          </w:p>
        </w:tc>
      </w:tr>
      <w:tr w:rsidR="00985054" w:rsidRPr="00796AB2" w14:paraId="63A0BEAA" w14:textId="77777777">
        <w:trPr>
          <w:jc w:val="center"/>
        </w:trPr>
        <w:tc>
          <w:tcPr>
            <w:tcW w:w="79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DDCDD1" w14:textId="77777777" w:rsidR="00985054" w:rsidRDefault="00000000">
            <w:pPr>
              <w:spacing w:after="0" w:line="252" w:lineRule="auto"/>
            </w:pPr>
            <w:r>
              <w:t>B</w:t>
            </w:r>
          </w:p>
        </w:tc>
        <w:tc>
          <w:tcPr>
            <w:tcW w:w="849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2DA85D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WGI eficácia governativa e qualidade regulatória; administração rigorosa e imparcial; mérito nas nomeações (V-Dem); serviços públicos digitais</w:t>
            </w:r>
          </w:p>
        </w:tc>
      </w:tr>
      <w:tr w:rsidR="00985054" w:rsidRPr="00796AB2" w14:paraId="708B106C" w14:textId="77777777">
        <w:trPr>
          <w:jc w:val="center"/>
        </w:trPr>
        <w:tc>
          <w:tcPr>
            <w:tcW w:w="7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BF7985" w14:textId="77777777" w:rsidR="00985054" w:rsidRDefault="00000000">
            <w:pPr>
              <w:spacing w:after="0" w:line="252" w:lineRule="auto"/>
            </w:pPr>
            <w:r>
              <w:t>C</w:t>
            </w:r>
          </w:p>
        </w:tc>
        <w:tc>
          <w:tcPr>
            <w:tcW w:w="849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A59D29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Ligação partidária programática; descentralização da seleção de candidatos (V-Dem); Índice de Liberdade de Escolha dos Votantes</w:t>
            </w:r>
          </w:p>
        </w:tc>
      </w:tr>
      <w:tr w:rsidR="00985054" w:rsidRPr="00796AB2" w14:paraId="557D5989" w14:textId="77777777">
        <w:trPr>
          <w:jc w:val="center"/>
        </w:trPr>
        <w:tc>
          <w:tcPr>
            <w:tcW w:w="792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01F9F8" w14:textId="77777777" w:rsidR="00985054" w:rsidRDefault="00000000">
            <w:pPr>
              <w:spacing w:after="0" w:line="252" w:lineRule="auto"/>
            </w:pPr>
            <w:r>
              <w:t>D</w:t>
            </w:r>
          </w:p>
        </w:tc>
        <w:tc>
          <w:tcPr>
            <w:tcW w:w="849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DF66F3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WGI controlo da corrupção; corrupção política, do executivo e do setor público (V-Dem); maturidade de dados abertos</w:t>
            </w:r>
          </w:p>
        </w:tc>
      </w:tr>
    </w:tbl>
    <w:p w14:paraId="44E0ADC4" w14:textId="77777777" w:rsidR="00985054" w:rsidRPr="00984171" w:rsidRDefault="00000000">
      <w:pPr>
        <w:rPr>
          <w:lang w:val="pt-PT"/>
        </w:rPr>
      </w:pPr>
      <w:r>
        <w:t>BIO_OUTEXP, BIO_FIT e BIO_RENEW foram excluídos por falta de uma base biográfica harmonizada UE-27. O Open Data e o Índice de Liberdade de Escolha dos Votantes foram sujeitos a testes de exclusão; a fórmula e os parâmetros c, p e M do ILE estão integralmente expostos na matriz reproduzível.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47044A43" w14:textId="77777777">
        <w:trPr>
          <w:tblHeader/>
          <w:jc w:val="center"/>
        </w:trPr>
        <w:tc>
          <w:tcPr>
            <w:tcW w:w="9288" w:type="dxa"/>
            <w:shd w:val="clear" w:color="auto" w:fill="FAF4E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771F9A" w14:textId="77777777" w:rsidR="00985054" w:rsidRPr="00984171" w:rsidRDefault="00000000">
            <w:pPr>
              <w:spacing w:after="0" w:line="269" w:lineRule="auto"/>
              <w:rPr>
                <w:lang w:val="pt-PT"/>
              </w:rPr>
            </w:pPr>
            <w:r>
              <w:t>INCORPORAÇÃO CONCLUÍDA  A dimensão Instituições foi reconstruída para os 27 países. Portugal obtém 45,7772 pontos e ocupa o 16.º lugar. O ICE-49 é corretamente atribuído a Paulo Trigo Pereira e João Andrade e Silva (2009), DOI 10.1016/j.electstud.2008.07.005.</w:t>
            </w:r>
          </w:p>
        </w:tc>
      </w:tr>
    </w:tbl>
    <w:p w14:paraId="0AA1B4CD" w14:textId="77777777" w:rsidR="00985054" w:rsidRPr="00984171" w:rsidRDefault="00985054">
      <w:pPr>
        <w:spacing w:after="40"/>
        <w:rPr>
          <w:lang w:val="pt-PT"/>
        </w:rPr>
      </w:pPr>
    </w:p>
    <w:p w14:paraId="78A1C262" w14:textId="77777777" w:rsidR="00985054" w:rsidRPr="00984171" w:rsidRDefault="00985054">
      <w:pPr>
        <w:rPr>
          <w:lang w:val="pt-PT"/>
        </w:rPr>
        <w:sectPr w:rsidR="00985054" w:rsidRPr="00984171">
          <w:headerReference w:type="default" r:id="rId8"/>
          <w:footerReference w:type="default" r:id="rId9"/>
          <w:pgSz w:w="12240" w:h="15840"/>
          <w:pgMar w:top="1080" w:right="1224" w:bottom="1080" w:left="1224" w:header="504" w:footer="504" w:gutter="0"/>
          <w:cols w:space="720"/>
          <w:docGrid w:linePitch="360"/>
        </w:sectPr>
      </w:pPr>
    </w:p>
    <w:p w14:paraId="70AB265B" w14:textId="77777777" w:rsidR="00234724" w:rsidRPr="00796AB2" w:rsidRDefault="00000000">
      <w:pPr>
        <w:pStyle w:val="Ttulo1"/>
        <w:rPr>
          <w:lang w:val="pt-PT"/>
        </w:rPr>
      </w:pPr>
      <w:r>
        <w:t>5.9 Sustentabilidade ambiental</w:t>
      </w:r>
    </w:p>
    <w:p w14:paraId="70EB5B87" w14:textId="77777777" w:rsidR="00234724" w:rsidRPr="00796AB2" w:rsidRDefault="00000000">
      <w:pPr>
        <w:rPr>
          <w:lang w:val="pt-PT"/>
        </w:rPr>
      </w:pPr>
      <w:r>
        <w:t>A dimensão mede a capacidade relativa de cada Estado-Membro para reduzir pressões climáticas, usar energia e materiais de forma eficiente e preservar a base ecológica necessária à prosperidade duradoura.</w:t>
      </w:r>
    </w:p>
    <w:p w14:paraId="10234E98" w14:textId="77777777" w:rsidR="00234724" w:rsidRPr="00796AB2" w:rsidRDefault="00000000">
      <w:pPr>
        <w:pStyle w:val="Ttulo2"/>
        <w:rPr>
          <w:lang w:val="pt-PT"/>
        </w:rPr>
      </w:pPr>
      <w:r>
        <w:t>Objeto de medição</w:t>
      </w:r>
    </w:p>
    <w:p w14:paraId="358ADD22" w14:textId="77777777" w:rsidR="00234724" w:rsidRPr="00796AB2" w:rsidRDefault="00000000">
      <w:pPr>
        <w:rPr>
          <w:lang w:val="pt-PT"/>
        </w:rPr>
      </w:pPr>
      <w:r>
        <w:t>A dimensão não procura medir toda a sustentabilidade. Combina resultados e capacidades em três pilares: descarbonização; eficiência e circularidade; ecossistemas e resiliência.</w:t>
      </w:r>
    </w:p>
    <w:p w14:paraId="2B5238DF" w14:textId="77777777" w:rsidR="00234724" w:rsidRPr="00796AB2" w:rsidRDefault="00000000">
      <w:pPr>
        <w:pStyle w:val="Ttulo2"/>
        <w:rPr>
          <w:lang w:val="pt-PT"/>
        </w:rPr>
      </w:pPr>
      <w:r>
        <w:t>Normalização e ponderação</w:t>
      </w:r>
    </w:p>
    <w:p w14:paraId="0C5C7C7C" w14:textId="77777777" w:rsidR="00234724" w:rsidRPr="00796AB2" w:rsidRDefault="00000000">
      <w:pPr>
        <w:rPr>
          <w:lang w:val="pt-PT"/>
        </w:rPr>
      </w:pPr>
      <w:r>
        <w:t>Todos os indicadores são convertidos em percentis ordinais UE-27, com 100 para a melhor posição e 0 para a última. Os três pilares recebem pesos iguais. Descarbonização e eficiência/circularidade usam dois indicadores com pesos iguais. O pilar ecológico usa três indicadores, cada um com um terço do peso do pilar.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958"/>
        <w:gridCol w:w="1958"/>
        <w:gridCol w:w="1958"/>
        <w:gridCol w:w="1958"/>
        <w:gridCol w:w="1958"/>
      </w:tblGrid>
      <w:tr w:rsidR="00234724" w14:paraId="228D36D0" w14:textId="77777777">
        <w:trPr>
          <w:tblHeader/>
        </w:trPr>
        <w:tc>
          <w:tcPr>
            <w:tcW w:w="1958" w:type="dxa"/>
            <w:vAlign w:val="center"/>
          </w:tcPr>
          <w:p w14:paraId="532060BC" w14:textId="77777777" w:rsidR="00234724" w:rsidRDefault="00000000">
            <w:pPr>
              <w:spacing w:after="0"/>
            </w:pPr>
            <w:r>
              <w:t>Pilar</w:t>
            </w:r>
          </w:p>
        </w:tc>
        <w:tc>
          <w:tcPr>
            <w:tcW w:w="1958" w:type="dxa"/>
            <w:vAlign w:val="center"/>
          </w:tcPr>
          <w:p w14:paraId="1C2BF546" w14:textId="77777777" w:rsidR="00234724" w:rsidRDefault="00000000">
            <w:pPr>
              <w:spacing w:after="0"/>
            </w:pPr>
            <w:r>
              <w:t>Indicador</w:t>
            </w:r>
          </w:p>
        </w:tc>
        <w:tc>
          <w:tcPr>
            <w:tcW w:w="1958" w:type="dxa"/>
            <w:vAlign w:val="center"/>
          </w:tcPr>
          <w:p w14:paraId="5D6D4443" w14:textId="77777777" w:rsidR="00234724" w:rsidRDefault="00000000">
            <w:pPr>
              <w:spacing w:after="0"/>
            </w:pPr>
            <w:r>
              <w:t>Orientação</w:t>
            </w:r>
          </w:p>
        </w:tc>
        <w:tc>
          <w:tcPr>
            <w:tcW w:w="1958" w:type="dxa"/>
            <w:vAlign w:val="center"/>
          </w:tcPr>
          <w:p w14:paraId="43E0A345" w14:textId="77777777" w:rsidR="00234724" w:rsidRDefault="00000000">
            <w:pPr>
              <w:spacing w:after="0"/>
            </w:pPr>
            <w:r>
              <w:t>Ano</w:t>
            </w:r>
          </w:p>
        </w:tc>
        <w:tc>
          <w:tcPr>
            <w:tcW w:w="1958" w:type="dxa"/>
            <w:vAlign w:val="center"/>
          </w:tcPr>
          <w:p w14:paraId="1BE45B3F" w14:textId="77777777" w:rsidR="00234724" w:rsidRDefault="00000000">
            <w:pPr>
              <w:spacing w:after="0"/>
            </w:pPr>
            <w:r>
              <w:t>Fonte</w:t>
            </w:r>
          </w:p>
        </w:tc>
      </w:tr>
      <w:tr w:rsidR="00234724" w14:paraId="2E64236F" w14:textId="77777777">
        <w:tc>
          <w:tcPr>
            <w:tcW w:w="1958" w:type="dxa"/>
            <w:vAlign w:val="center"/>
          </w:tcPr>
          <w:p w14:paraId="1E7C8283" w14:textId="77777777" w:rsidR="00234724" w:rsidRDefault="00000000">
            <w:pPr>
              <w:spacing w:after="0"/>
            </w:pPr>
            <w:r>
              <w:t>Descarbonização</w:t>
            </w:r>
          </w:p>
        </w:tc>
        <w:tc>
          <w:tcPr>
            <w:tcW w:w="1958" w:type="dxa"/>
            <w:vAlign w:val="center"/>
          </w:tcPr>
          <w:p w14:paraId="29A790DE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Intensidade de GEE por unidade de valor acrescentado</w:t>
            </w:r>
          </w:p>
        </w:tc>
        <w:tc>
          <w:tcPr>
            <w:tcW w:w="1958" w:type="dxa"/>
            <w:vAlign w:val="center"/>
          </w:tcPr>
          <w:p w14:paraId="1C6D4DBF" w14:textId="77777777" w:rsidR="00234724" w:rsidRDefault="00000000">
            <w:pPr>
              <w:spacing w:after="0"/>
            </w:pPr>
            <w:r>
              <w:t>Menor é melhor</w:t>
            </w:r>
          </w:p>
        </w:tc>
        <w:tc>
          <w:tcPr>
            <w:tcW w:w="1958" w:type="dxa"/>
            <w:vAlign w:val="center"/>
          </w:tcPr>
          <w:p w14:paraId="284C5B99" w14:textId="77777777" w:rsidR="00234724" w:rsidRDefault="00000000">
            <w:pPr>
              <w:spacing w:after="0"/>
            </w:pPr>
            <w:r>
              <w:t>2024</w:t>
            </w:r>
          </w:p>
        </w:tc>
        <w:tc>
          <w:tcPr>
            <w:tcW w:w="1958" w:type="dxa"/>
            <w:vAlign w:val="center"/>
          </w:tcPr>
          <w:p w14:paraId="1462D3CD" w14:textId="77777777" w:rsidR="00234724" w:rsidRDefault="00000000">
            <w:pPr>
              <w:spacing w:after="0"/>
            </w:pPr>
            <w:r>
              <w:t>Eurostat</w:t>
            </w:r>
          </w:p>
        </w:tc>
      </w:tr>
      <w:tr w:rsidR="00234724" w14:paraId="451273F5" w14:textId="77777777">
        <w:tc>
          <w:tcPr>
            <w:tcW w:w="1958" w:type="dxa"/>
            <w:vAlign w:val="center"/>
          </w:tcPr>
          <w:p w14:paraId="52B0297F" w14:textId="77777777" w:rsidR="00234724" w:rsidRDefault="00000000">
            <w:pPr>
              <w:spacing w:after="0"/>
            </w:pPr>
            <w:r>
              <w:t>Descarbonização</w:t>
            </w:r>
          </w:p>
        </w:tc>
        <w:tc>
          <w:tcPr>
            <w:tcW w:w="1958" w:type="dxa"/>
            <w:vAlign w:val="center"/>
          </w:tcPr>
          <w:p w14:paraId="4B34D49D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Quota de energia renovável no consumo final bruto</w:t>
            </w:r>
          </w:p>
        </w:tc>
        <w:tc>
          <w:tcPr>
            <w:tcW w:w="1958" w:type="dxa"/>
            <w:vAlign w:val="center"/>
          </w:tcPr>
          <w:p w14:paraId="44CD5EF4" w14:textId="77777777" w:rsidR="00234724" w:rsidRDefault="00000000">
            <w:pPr>
              <w:spacing w:after="0"/>
            </w:pPr>
            <w:r>
              <w:t>Maior é melhor</w:t>
            </w:r>
          </w:p>
        </w:tc>
        <w:tc>
          <w:tcPr>
            <w:tcW w:w="1958" w:type="dxa"/>
            <w:vAlign w:val="center"/>
          </w:tcPr>
          <w:p w14:paraId="15C0A144" w14:textId="77777777" w:rsidR="00234724" w:rsidRDefault="00000000">
            <w:pPr>
              <w:spacing w:after="0"/>
            </w:pPr>
            <w:r>
              <w:t>2025</w:t>
            </w:r>
          </w:p>
        </w:tc>
        <w:tc>
          <w:tcPr>
            <w:tcW w:w="1958" w:type="dxa"/>
            <w:vAlign w:val="center"/>
          </w:tcPr>
          <w:p w14:paraId="19F77364" w14:textId="77777777" w:rsidR="00234724" w:rsidRDefault="00000000">
            <w:pPr>
              <w:spacing w:after="0"/>
            </w:pPr>
            <w:r>
              <w:t>Eurostat</w:t>
            </w:r>
          </w:p>
        </w:tc>
      </w:tr>
      <w:tr w:rsidR="00234724" w14:paraId="78AC3695" w14:textId="77777777">
        <w:tc>
          <w:tcPr>
            <w:tcW w:w="1958" w:type="dxa"/>
            <w:vAlign w:val="center"/>
          </w:tcPr>
          <w:p w14:paraId="6FF7536B" w14:textId="77777777" w:rsidR="00234724" w:rsidRDefault="00000000">
            <w:pPr>
              <w:spacing w:after="0"/>
            </w:pPr>
            <w:r>
              <w:t>Eficiência e circularidade</w:t>
            </w:r>
          </w:p>
        </w:tc>
        <w:tc>
          <w:tcPr>
            <w:tcW w:w="1958" w:type="dxa"/>
            <w:vAlign w:val="center"/>
          </w:tcPr>
          <w:p w14:paraId="7E4832C4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Produtividade energética</w:t>
            </w:r>
          </w:p>
        </w:tc>
        <w:tc>
          <w:tcPr>
            <w:tcW w:w="1958" w:type="dxa"/>
            <w:vAlign w:val="center"/>
          </w:tcPr>
          <w:p w14:paraId="32D095FF" w14:textId="77777777" w:rsidR="00234724" w:rsidRDefault="00000000">
            <w:pPr>
              <w:spacing w:after="0"/>
            </w:pPr>
            <w:r>
              <w:t>Maior é melhor</w:t>
            </w:r>
          </w:p>
        </w:tc>
        <w:tc>
          <w:tcPr>
            <w:tcW w:w="1958" w:type="dxa"/>
            <w:vAlign w:val="center"/>
          </w:tcPr>
          <w:p w14:paraId="071716CE" w14:textId="77777777" w:rsidR="00234724" w:rsidRDefault="00000000">
            <w:pPr>
              <w:spacing w:after="0"/>
            </w:pPr>
            <w:r>
              <w:t>2024</w:t>
            </w:r>
          </w:p>
        </w:tc>
        <w:tc>
          <w:tcPr>
            <w:tcW w:w="1958" w:type="dxa"/>
            <w:vAlign w:val="center"/>
          </w:tcPr>
          <w:p w14:paraId="1BD29509" w14:textId="77777777" w:rsidR="00234724" w:rsidRDefault="00000000">
            <w:pPr>
              <w:spacing w:after="0"/>
            </w:pPr>
            <w:r>
              <w:t>Eurostat</w:t>
            </w:r>
          </w:p>
        </w:tc>
      </w:tr>
      <w:tr w:rsidR="00234724" w14:paraId="4C0B3EA2" w14:textId="77777777">
        <w:tc>
          <w:tcPr>
            <w:tcW w:w="1958" w:type="dxa"/>
            <w:vAlign w:val="center"/>
          </w:tcPr>
          <w:p w14:paraId="01B6FACD" w14:textId="77777777" w:rsidR="00234724" w:rsidRDefault="00000000">
            <w:pPr>
              <w:spacing w:after="0"/>
            </w:pPr>
            <w:r>
              <w:t>Eficiência e circularidade</w:t>
            </w:r>
          </w:p>
        </w:tc>
        <w:tc>
          <w:tcPr>
            <w:tcW w:w="1958" w:type="dxa"/>
            <w:vAlign w:val="center"/>
          </w:tcPr>
          <w:p w14:paraId="63C049EF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Taxa de utilização circular de materiais</w:t>
            </w:r>
          </w:p>
        </w:tc>
        <w:tc>
          <w:tcPr>
            <w:tcW w:w="1958" w:type="dxa"/>
            <w:vAlign w:val="center"/>
          </w:tcPr>
          <w:p w14:paraId="62E15042" w14:textId="77777777" w:rsidR="00234724" w:rsidRDefault="00000000">
            <w:pPr>
              <w:spacing w:after="0"/>
            </w:pPr>
            <w:r>
              <w:t>Maior é melhor</w:t>
            </w:r>
          </w:p>
        </w:tc>
        <w:tc>
          <w:tcPr>
            <w:tcW w:w="1958" w:type="dxa"/>
            <w:vAlign w:val="center"/>
          </w:tcPr>
          <w:p w14:paraId="78D0DD2C" w14:textId="77777777" w:rsidR="00234724" w:rsidRDefault="00000000">
            <w:pPr>
              <w:spacing w:after="0"/>
            </w:pPr>
            <w:r>
              <w:t>2024</w:t>
            </w:r>
          </w:p>
        </w:tc>
        <w:tc>
          <w:tcPr>
            <w:tcW w:w="1958" w:type="dxa"/>
            <w:vAlign w:val="center"/>
          </w:tcPr>
          <w:p w14:paraId="7FC1E215" w14:textId="77777777" w:rsidR="00234724" w:rsidRDefault="00000000">
            <w:pPr>
              <w:spacing w:after="0"/>
            </w:pPr>
            <w:r>
              <w:t>Eurostat</w:t>
            </w:r>
          </w:p>
        </w:tc>
      </w:tr>
      <w:tr w:rsidR="00234724" w14:paraId="398C947B" w14:textId="77777777">
        <w:tc>
          <w:tcPr>
            <w:tcW w:w="1958" w:type="dxa"/>
            <w:vAlign w:val="center"/>
          </w:tcPr>
          <w:p w14:paraId="666EA231" w14:textId="77777777" w:rsidR="00234724" w:rsidRDefault="00000000">
            <w:pPr>
              <w:spacing w:after="0"/>
            </w:pPr>
            <w:r>
              <w:t>Ecossistemas e resiliência</w:t>
            </w:r>
          </w:p>
        </w:tc>
        <w:tc>
          <w:tcPr>
            <w:tcW w:w="1958" w:type="dxa"/>
            <w:vAlign w:val="center"/>
          </w:tcPr>
          <w:p w14:paraId="3D512DBC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WEI+ máximo sazonal</w:t>
            </w:r>
          </w:p>
        </w:tc>
        <w:tc>
          <w:tcPr>
            <w:tcW w:w="1958" w:type="dxa"/>
            <w:vAlign w:val="center"/>
          </w:tcPr>
          <w:p w14:paraId="6E544967" w14:textId="77777777" w:rsidR="00234724" w:rsidRDefault="00000000">
            <w:pPr>
              <w:spacing w:after="0"/>
            </w:pPr>
            <w:r>
              <w:t>Menor é melhor</w:t>
            </w:r>
          </w:p>
        </w:tc>
        <w:tc>
          <w:tcPr>
            <w:tcW w:w="1958" w:type="dxa"/>
            <w:vAlign w:val="center"/>
          </w:tcPr>
          <w:p w14:paraId="3290F8E4" w14:textId="77777777" w:rsidR="00234724" w:rsidRDefault="00000000">
            <w:pPr>
              <w:spacing w:after="0"/>
            </w:pPr>
            <w:r>
              <w:t>2023</w:t>
            </w:r>
          </w:p>
        </w:tc>
        <w:tc>
          <w:tcPr>
            <w:tcW w:w="1958" w:type="dxa"/>
            <w:vAlign w:val="center"/>
          </w:tcPr>
          <w:p w14:paraId="7EA9220F" w14:textId="77777777" w:rsidR="00234724" w:rsidRDefault="00000000">
            <w:pPr>
              <w:spacing w:after="0"/>
            </w:pPr>
            <w:r>
              <w:t>EEA</w:t>
            </w:r>
          </w:p>
        </w:tc>
      </w:tr>
      <w:tr w:rsidR="00234724" w14:paraId="55855BE1" w14:textId="77777777">
        <w:tc>
          <w:tcPr>
            <w:tcW w:w="1958" w:type="dxa"/>
            <w:vAlign w:val="center"/>
          </w:tcPr>
          <w:p w14:paraId="61291669" w14:textId="77777777" w:rsidR="00234724" w:rsidRDefault="00000000">
            <w:pPr>
              <w:spacing w:after="0"/>
            </w:pPr>
            <w:r>
              <w:t>Ecossistemas e resiliência</w:t>
            </w:r>
          </w:p>
        </w:tc>
        <w:tc>
          <w:tcPr>
            <w:tcW w:w="1958" w:type="dxa"/>
            <w:vAlign w:val="center"/>
          </w:tcPr>
          <w:p w14:paraId="004DB149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Percentagem do território terrestre protegido</w:t>
            </w:r>
          </w:p>
        </w:tc>
        <w:tc>
          <w:tcPr>
            <w:tcW w:w="1958" w:type="dxa"/>
            <w:vAlign w:val="center"/>
          </w:tcPr>
          <w:p w14:paraId="3F96E9A7" w14:textId="77777777" w:rsidR="00234724" w:rsidRDefault="00000000">
            <w:pPr>
              <w:spacing w:after="0"/>
            </w:pPr>
            <w:r>
              <w:t>Maior é melhor</w:t>
            </w:r>
          </w:p>
        </w:tc>
        <w:tc>
          <w:tcPr>
            <w:tcW w:w="1958" w:type="dxa"/>
            <w:vAlign w:val="center"/>
          </w:tcPr>
          <w:p w14:paraId="1B8E84FD" w14:textId="77777777" w:rsidR="00234724" w:rsidRDefault="00000000">
            <w:pPr>
              <w:spacing w:after="0"/>
            </w:pPr>
            <w:r>
              <w:t>2023</w:t>
            </w:r>
          </w:p>
        </w:tc>
        <w:tc>
          <w:tcPr>
            <w:tcW w:w="1958" w:type="dxa"/>
            <w:vAlign w:val="center"/>
          </w:tcPr>
          <w:p w14:paraId="45908D31" w14:textId="77777777" w:rsidR="00234724" w:rsidRDefault="00000000">
            <w:pPr>
              <w:spacing w:after="0"/>
            </w:pPr>
            <w:r>
              <w:t>Eurostat</w:t>
            </w:r>
          </w:p>
        </w:tc>
      </w:tr>
      <w:tr w:rsidR="00234724" w14:paraId="4CBBD3D5" w14:textId="77777777">
        <w:tc>
          <w:tcPr>
            <w:tcW w:w="1958" w:type="dxa"/>
            <w:vAlign w:val="center"/>
          </w:tcPr>
          <w:p w14:paraId="7822A0B9" w14:textId="77777777" w:rsidR="00234724" w:rsidRDefault="00000000">
            <w:pPr>
              <w:spacing w:after="0"/>
            </w:pPr>
            <w:r>
              <w:t>Ecossistemas e resiliência</w:t>
            </w:r>
          </w:p>
        </w:tc>
        <w:tc>
          <w:tcPr>
            <w:tcW w:w="1958" w:type="dxa"/>
            <w:vAlign w:val="center"/>
          </w:tcPr>
          <w:p w14:paraId="637CDF2D" w14:textId="77777777" w:rsidR="00234724" w:rsidRPr="00796AB2" w:rsidRDefault="00000000">
            <w:pPr>
              <w:spacing w:after="0"/>
              <w:rPr>
                <w:lang w:val="pt-PT"/>
              </w:rPr>
            </w:pPr>
            <w:r>
              <w:t>Habitats em estado de conservação favorável</w:t>
            </w:r>
          </w:p>
        </w:tc>
        <w:tc>
          <w:tcPr>
            <w:tcW w:w="1958" w:type="dxa"/>
            <w:vAlign w:val="center"/>
          </w:tcPr>
          <w:p w14:paraId="488AB8DC" w14:textId="77777777" w:rsidR="00234724" w:rsidRDefault="00000000">
            <w:pPr>
              <w:spacing w:after="0"/>
            </w:pPr>
            <w:r>
              <w:t>Maior é melhor</w:t>
            </w:r>
          </w:p>
        </w:tc>
        <w:tc>
          <w:tcPr>
            <w:tcW w:w="1958" w:type="dxa"/>
            <w:vAlign w:val="center"/>
          </w:tcPr>
          <w:p w14:paraId="0CE29EE6" w14:textId="77777777" w:rsidR="00234724" w:rsidRDefault="00000000">
            <w:pPr>
              <w:spacing w:after="0"/>
            </w:pPr>
            <w:r>
              <w:t>2013–2018</w:t>
            </w:r>
          </w:p>
        </w:tc>
        <w:tc>
          <w:tcPr>
            <w:tcW w:w="1958" w:type="dxa"/>
            <w:vAlign w:val="center"/>
          </w:tcPr>
          <w:p w14:paraId="6CF6A243" w14:textId="77777777" w:rsidR="00234724" w:rsidRDefault="00000000">
            <w:pPr>
              <w:spacing w:after="0"/>
            </w:pPr>
            <w:r>
              <w:t>EEA</w:t>
            </w:r>
          </w:p>
        </w:tc>
      </w:tr>
    </w:tbl>
    <w:p w14:paraId="5CBA7702" w14:textId="77777777" w:rsidR="00234724" w:rsidRDefault="00000000">
      <w:pPr>
        <w:pStyle w:val="Ttulo2"/>
      </w:pPr>
      <w:r>
        <w:t>Auditoria do terceiro pilar</w:t>
      </w:r>
    </w:p>
    <w:p w14:paraId="78745F64" w14:textId="77777777" w:rsidR="00234724" w:rsidRPr="00796AB2" w:rsidRDefault="00000000">
      <w:pPr>
        <w:rPr>
          <w:lang w:val="pt-PT"/>
        </w:rPr>
      </w:pPr>
      <w:r>
        <w:t>Foram comparadas quatro especificações: pressão hídrica + proteção; pressão hídrica + estado dos habitats; combinação equilibrada dos três indicadores; e proteção + estado dos habitats. A última elevaria Portugal ao 10.º lugar ambiental por retirar inteiramente o risco hídrico. A especificação equilibrada foi preferida porque representa pressão, resposta pública e resultado ecológico sem eliminar uma vulnerabilidade material.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632"/>
        <w:gridCol w:w="1632"/>
        <w:gridCol w:w="1632"/>
        <w:gridCol w:w="1632"/>
        <w:gridCol w:w="1632"/>
        <w:gridCol w:w="1632"/>
      </w:tblGrid>
      <w:tr w:rsidR="00234724" w14:paraId="5CFE0353" w14:textId="77777777">
        <w:trPr>
          <w:tblHeader/>
        </w:trPr>
        <w:tc>
          <w:tcPr>
            <w:tcW w:w="1632" w:type="dxa"/>
            <w:vAlign w:val="center"/>
          </w:tcPr>
          <w:p w14:paraId="237C6D1A" w14:textId="77777777" w:rsidR="00234724" w:rsidRDefault="00000000">
            <w:pPr>
              <w:spacing w:after="0"/>
            </w:pPr>
            <w:r>
              <w:t>Especificação</w:t>
            </w:r>
          </w:p>
        </w:tc>
        <w:tc>
          <w:tcPr>
            <w:tcW w:w="1632" w:type="dxa"/>
            <w:vAlign w:val="center"/>
          </w:tcPr>
          <w:p w14:paraId="777235F7" w14:textId="77777777" w:rsidR="00234724" w:rsidRDefault="00000000">
            <w:pPr>
              <w:spacing w:after="0"/>
            </w:pPr>
            <w:r>
              <w:t>Ambiente PT</w:t>
            </w:r>
          </w:p>
        </w:tc>
        <w:tc>
          <w:tcPr>
            <w:tcW w:w="1632" w:type="dxa"/>
            <w:vAlign w:val="center"/>
          </w:tcPr>
          <w:p w14:paraId="738D356B" w14:textId="77777777" w:rsidR="00234724" w:rsidRDefault="00000000">
            <w:pPr>
              <w:spacing w:after="0"/>
            </w:pPr>
            <w:r>
              <w:t>Posição ambiental</w:t>
            </w:r>
          </w:p>
        </w:tc>
        <w:tc>
          <w:tcPr>
            <w:tcW w:w="1632" w:type="dxa"/>
            <w:vAlign w:val="center"/>
          </w:tcPr>
          <w:p w14:paraId="0B475145" w14:textId="77777777" w:rsidR="00234724" w:rsidRDefault="00000000">
            <w:pPr>
              <w:spacing w:after="0"/>
            </w:pPr>
            <w:r>
              <w:t>ICE global</w:t>
            </w:r>
          </w:p>
        </w:tc>
        <w:tc>
          <w:tcPr>
            <w:tcW w:w="1632" w:type="dxa"/>
            <w:vAlign w:val="center"/>
          </w:tcPr>
          <w:p w14:paraId="4A05803C" w14:textId="77777777" w:rsidR="00234724" w:rsidRDefault="00000000">
            <w:pPr>
              <w:spacing w:after="0"/>
            </w:pPr>
            <w:r>
              <w:t>Posição global</w:t>
            </w:r>
          </w:p>
        </w:tc>
        <w:tc>
          <w:tcPr>
            <w:tcW w:w="1632" w:type="dxa"/>
            <w:vAlign w:val="center"/>
          </w:tcPr>
          <w:p w14:paraId="5015522A" w14:textId="77777777" w:rsidR="00234724" w:rsidRDefault="00000000">
            <w:pPr>
              <w:spacing w:after="0"/>
            </w:pPr>
            <w:r>
              <w:t>Leitura</w:t>
            </w:r>
          </w:p>
        </w:tc>
      </w:tr>
      <w:tr w:rsidR="00234724" w14:paraId="77AE0BD5" w14:textId="77777777">
        <w:tc>
          <w:tcPr>
            <w:tcW w:w="1632" w:type="dxa"/>
            <w:vAlign w:val="center"/>
          </w:tcPr>
          <w:p>
            <w:r>
              <w:t>Modelo consolidado 2026</w:t>
            </w:r>
          </w:p>
        </w:tc>
        <w:tc>
          <w:tcPr>
            <w:tcW w:w="1632" w:type="dxa"/>
            <w:vAlign w:val="center"/>
          </w:tcPr>
          <w:p>
            <w:r>
              <w:t>50,0000</w:t>
            </w:r>
          </w:p>
        </w:tc>
        <w:tc>
          <w:tcPr>
            <w:tcW w:w="1632" w:type="dxa"/>
            <w:vAlign w:val="center"/>
          </w:tcPr>
          <w:p>
            <w:r>
              <w:t>12.º</w:t>
            </w:r>
          </w:p>
        </w:tc>
        <w:tc>
          <w:tcPr>
            <w:tcW w:w="1632" w:type="dxa"/>
            <w:vAlign w:val="center"/>
          </w:tcPr>
          <w:p>
            <w:r>
              <w:t>35,7197</w:t>
            </w:r>
          </w:p>
        </w:tc>
        <w:tc>
          <w:tcPr>
            <w:tcW w:w="1632" w:type="dxa"/>
            <w:vAlign w:val="center"/>
          </w:tcPr>
          <w:p>
            <w:r>
              <w:t>21.º</w:t>
            </w:r>
          </w:p>
        </w:tc>
        <w:tc>
          <w:tcPr>
            <w:tcW w:w="1632" w:type="dxa"/>
            <w:vAlign w:val="center"/>
          </w:tcPr>
          <w:p>
            <w:r>
              <w:t>Especificação principal</w:t>
            </w:r>
          </w:p>
        </w:tc>
      </w:tr>
      <w:tr w:rsidR="00234724" w14:paraId="04302949" w14:textId="77777777">
        <w:tc>
          <w:tcPr>
            <w:tcW w:w="1632" w:type="dxa"/>
            <w:vAlign w:val="center"/>
          </w:tcPr>
          <w:p>
            <w:r>
              <w:t>PIB + SII completo</w:t>
            </w:r>
          </w:p>
        </w:tc>
        <w:tc>
          <w:tcPr>
            <w:tcW w:w="1632" w:type="dxa"/>
            <w:vAlign w:val="center"/>
          </w:tcPr>
          <w:p>
            <w:r>
              <w:t>50,0000</w:t>
            </w:r>
          </w:p>
        </w:tc>
        <w:tc>
          <w:tcPr>
            <w:tcW w:w="1632" w:type="dxa"/>
            <w:vAlign w:val="center"/>
          </w:tcPr>
          <w:p>
            <w:r>
              <w:t>12.º</w:t>
            </w:r>
          </w:p>
        </w:tc>
        <w:tc>
          <w:tcPr>
            <w:tcW w:w="1632" w:type="dxa"/>
            <w:vAlign w:val="center"/>
          </w:tcPr>
          <w:p>
            <w:r>
              <w:t>34,5142</w:t>
            </w:r>
          </w:p>
        </w:tc>
        <w:tc>
          <w:tcPr>
            <w:tcW w:w="1632" w:type="dxa"/>
            <w:vAlign w:val="center"/>
          </w:tcPr>
          <w:p>
            <w:r>
              <w:t>21.º</w:t>
            </w:r>
          </w:p>
        </w:tc>
        <w:tc>
          <w:tcPr>
            <w:tcW w:w="1632" w:type="dxa"/>
            <w:vAlign w:val="center"/>
          </w:tcPr>
          <w:p>
            <w:r>
              <w:t>Alternativa rejeitada; recálculo de outubro</w:t>
            </w:r>
          </w:p>
        </w:tc>
      </w:tr>
      <w:tr w:rsidR="00234724" w14:paraId="40F1BC5D" w14:textId="77777777">
        <w:tc>
          <w:tcPr>
            <w:tcW w:w="1632" w:type="dxa"/>
            <w:vAlign w:val="center"/>
          </w:tcPr>
          <w:p>
            <w:r>
              <w:t>Leave-one-out da sustentabilidade</w:t>
            </w:r>
          </w:p>
        </w:tc>
        <w:tc>
          <w:tcPr>
            <w:tcW w:w="1632" w:type="dxa"/>
            <w:vAlign w:val="center"/>
          </w:tcPr>
          <w:p>
            <w:r>
              <w:t>—</w:t>
            </w:r>
          </w:p>
        </w:tc>
        <w:tc>
          <w:tcPr>
            <w:tcW w:w="1632" w:type="dxa"/>
            <w:vAlign w:val="center"/>
          </w:tcPr>
          <w:p>
            <w:r>
              <w:t>—</w:t>
            </w:r>
          </w:p>
        </w:tc>
        <w:tc>
          <w:tcPr>
            <w:tcW w:w="1632" w:type="dxa"/>
            <w:vAlign w:val="center"/>
          </w:tcPr>
          <w:p>
            <w:r>
              <w:t>33,9346</w:t>
            </w:r>
          </w:p>
        </w:tc>
        <w:tc>
          <w:tcPr>
            <w:tcW w:w="1632" w:type="dxa"/>
            <w:vAlign w:val="center"/>
          </w:tcPr>
          <w:p>
            <w:r>
              <w:t>21.º</w:t>
            </w:r>
          </w:p>
        </w:tc>
        <w:tc>
          <w:tcPr>
            <w:tcW w:w="1632" w:type="dxa"/>
            <w:vAlign w:val="center"/>
          </w:tcPr>
          <w:p>
            <w:r>
              <w:t>Posição inalterada</w:t>
            </w:r>
          </w:p>
        </w:tc>
      </w:tr>
      <w:tr w:rsidR="00234724" w14:paraId="18575F9A" w14:textId="77777777">
        <w:tc>
          <w:tcPr>
            <w:tcW w:w="1632" w:type="dxa"/>
            <w:vAlign w:val="center"/>
          </w:tcPr>
          <w:p>
            <w:r>
              <w:t>Conclusão</w:t>
            </w:r>
          </w:p>
        </w:tc>
        <w:tc>
          <w:tcPr>
            <w:tcW w:w="1632" w:type="dxa"/>
            <w:vAlign w:val="center"/>
          </w:tcPr>
          <w:p>
            <w:r>
              <w:t>50,0000</w:t>
            </w:r>
          </w:p>
        </w:tc>
        <w:tc>
          <w:tcPr>
            <w:tcW w:w="1632" w:type="dxa"/>
            <w:vAlign w:val="center"/>
          </w:tcPr>
          <w:p>
            <w:r>
              <w:t>12.º</w:t>
            </w:r>
          </w:p>
        </w:tc>
        <w:tc>
          <w:tcPr>
            <w:tcW w:w="1632" w:type="dxa"/>
            <w:vAlign w:val="center"/>
          </w:tcPr>
          <w:p>
            <w:r>
              <w:t>35,7197</w:t>
            </w:r>
          </w:p>
        </w:tc>
        <w:tc>
          <w:tcPr>
            <w:tcW w:w="1632" w:type="dxa"/>
            <w:vAlign w:val="center"/>
          </w:tcPr>
          <w:p>
            <w:r>
              <w:t>21.º</w:t>
            </w:r>
          </w:p>
        </w:tc>
        <w:tc>
          <w:tcPr>
            <w:tcW w:w="1632" w:type="dxa"/>
            <w:vAlign w:val="center"/>
          </w:tcPr>
          <w:p>
            <w:r>
              <w:t>Robusto no ranking global</w:t>
            </w:r>
          </w:p>
        </w:tc>
      </w:tr>
    </w:tbl>
    <w:p w14:paraId="6AFB4459" w14:textId="77777777" w:rsidR="00234724" w:rsidRDefault="00000000">
      <w:pPr>
        <w:pStyle w:val="Ttulo2"/>
      </w:pPr>
      <w:r>
        <w:t>Decisão da auditoria</w:t>
      </w:r>
    </w:p>
    <w:p w14:paraId="447A0D62" w14:textId="77777777" w:rsidR="00234724" w:rsidRPr="00796AB2" w:rsidRDefault="00000000">
      <w:pPr>
        <w:rPr>
          <w:lang w:val="pt-PT"/>
        </w:rPr>
      </w:pPr>
      <w:r>
        <w:t>Modelo consolidado: Portugal obtém 50,0000 pontos e ocupa o 12.º lugar na sustentabilidade ambiental. No ICE global obtém 35,7197 pontos e mantém o 21.º lugar.</w:t>
      </w:r>
    </w:p>
    <w:p w14:paraId="1960369B" w14:textId="77777777" w:rsidR="00234724" w:rsidRPr="00796AB2" w:rsidRDefault="00000000">
      <w:pPr>
        <w:pStyle w:val="Ttulo2"/>
        <w:rPr>
          <w:lang w:val="pt-PT"/>
        </w:rPr>
      </w:pPr>
      <w:r>
        <w:t>Limites e cautelas</w:t>
      </w:r>
    </w:p>
    <w:p w14:paraId="1B1B8F29" w14:textId="77777777" w:rsidR="00234724" w:rsidRPr="00796AB2" w:rsidRDefault="00000000">
      <w:pPr>
        <w:rPr>
          <w:lang w:val="pt-PT"/>
        </w:rPr>
      </w:pPr>
      <w:r>
        <w:t>O estado dos habitats tem periodicidade de seis anos e o ciclo consolidado disponível é 2013–2018. A EEA assinala diferenças de inventário, monitorização e julgamento especializado entre países. A área protegida mede designação legal, não eficácia de gestão. O WEI+ máximo sazonal é sensível à geografia e à variabilidade climática. Estes indicadores devem ser atualizados no ciclo regular do índice e sujeitos a revisão externa periódica.</w:t>
      </w:r>
    </w:p>
    <w:p w14:paraId="0B4FC9E0" w14:textId="77777777" w:rsidR="00985054" w:rsidRPr="00984171" w:rsidRDefault="00000000">
      <w:pPr>
        <w:pStyle w:val="Ttulo1"/>
        <w:rPr>
          <w:lang w:val="pt-PT"/>
        </w:rPr>
      </w:pPr>
      <w:r>
        <w:t>6. Resultado global reproduzível</w:t>
      </w:r>
    </w:p>
    <w:p w14:paraId="0F004FC6" w14:textId="77777777" w:rsidR="00985054" w:rsidRPr="00984171" w:rsidRDefault="00000000">
      <w:pPr>
        <w:pStyle w:val="Ttulo2"/>
        <w:rPr>
          <w:lang w:val="pt-PT"/>
        </w:rPr>
      </w:pPr>
      <w:r>
        <w:t>6.1 Ranking principal e pontuações por dimensão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2088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840"/>
      </w:tblGrid>
      <w:tr w:rsidR="00985054" w14:paraId="756F41BD" w14:textId="77777777">
        <w:trPr>
          <w:tblHeader/>
          <w:jc w:val="center"/>
        </w:trPr>
        <w:tc>
          <w:tcPr>
            <w:tcW w:w="504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0117A7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#</w:t>
            </w:r>
          </w:p>
        </w:tc>
        <w:tc>
          <w:tcPr>
            <w:tcW w:w="2088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F52867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País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1BBCE0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ICE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129C5D4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Pros.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A971195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Prod.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08A6A7A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Rem.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923B300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Educ.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96B109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Inov.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127C49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Comp.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36EA71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Coes.</w:t>
            </w:r>
          </w:p>
        </w:tc>
        <w:tc>
          <w:tcPr>
            <w:tcW w:w="936" w:type="dxa"/>
            <w:shd w:val="clear" w:color="auto" w:fill="003B4D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2CCB670" w14:textId="77777777" w:rsidR="00234724" w:rsidRPr="00796AB2" w:rsidRDefault="00000000">
            <w:pPr>
              <w:spacing w:after="0"/>
              <w:rPr>
                <w:color w:val="C6D9F1" w:themeColor="text2" w:themeTint="33"/>
              </w:rPr>
            </w:pPr>
            <w:r>
              <w:rPr>
                <w:b/>
                <w:color w:val="FFFFFF"/>
              </w:rPr>
              <w:t>Inst.</w:t>
            </w:r>
          </w:p>
        </w:tc>
        <w:tc>
          <w:tcPr>
            <w:tcW w:w="840" w:type="dxa"/>
            <w:vAlign w:val="center"/>
          </w:tcPr>
          <w:p w14:paraId="027FA1CF" w14:textId="77777777" w:rsidR="00234724" w:rsidRDefault="00000000">
            <w:pPr>
              <w:spacing w:after="0"/>
            </w:pPr>
            <w:r>
              <w:t>Amb.</w:t>
            </w:r>
          </w:p>
        </w:tc>
      </w:tr>
      <w:tr w:rsidR="00985054" w14:paraId="684477CC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Irlanda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75,8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67,3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100,0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88,5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89,1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60,9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100,0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61,5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69,3</w:t>
            </w:r>
          </w:p>
        </w:tc>
        <w:tc>
          <w:tcPr>
            <w:tcW w:w="840" w:type="dxa"/>
            <w:vAlign w:val="center"/>
          </w:tcPr>
          <w:p>
            <w:r>
              <w:t>45,6</w:t>
            </w:r>
          </w:p>
        </w:tc>
      </w:tr>
      <w:tr w:rsidR="00985054" w14:paraId="545D0597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Dinamarca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75,3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78,8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92,3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90,4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60,3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77,6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71,2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65,4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90,5</w:t>
            </w:r>
          </w:p>
        </w:tc>
        <w:tc>
          <w:tcPr>
            <w:tcW w:w="840" w:type="dxa"/>
            <w:vAlign w:val="center"/>
          </w:tcPr>
          <w:p>
            <w:r>
              <w:t>51,5</w:t>
            </w:r>
          </w:p>
        </w:tc>
      </w:tr>
      <w:tr w:rsidR="00985054" w14:paraId="6273289B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Países Baixos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74,9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92,3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84,6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82,7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65,4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74,3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61,5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84,6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71,1</w:t>
            </w:r>
          </w:p>
        </w:tc>
        <w:tc>
          <w:tcPr>
            <w:tcW w:w="840" w:type="dxa"/>
            <w:vAlign w:val="center"/>
          </w:tcPr>
          <w:p>
            <w:r>
              <w:t>57,2</w:t>
            </w:r>
          </w:p>
        </w:tc>
      </w:tr>
      <w:tr w:rsidR="00985054" w14:paraId="3398D7CD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Luxemburgo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74,4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100,0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96,2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96,2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67,1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65,4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75,4</w:t>
            </w:r>
          </w:p>
        </w:tc>
        <w:tc>
          <w:tcPr>
            <w:tcW w:w="840" w:type="dxa"/>
            <w:vAlign w:val="center"/>
          </w:tcPr>
          <w:p>
            <w:r>
              <w:t>69,7</w:t>
            </w:r>
          </w:p>
        </w:tc>
      </w:tr>
      <w:tr w:rsidR="00985054" w14:paraId="7B1C6612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Bélgica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72,1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85,6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88,5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96,2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67,9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70,6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59,6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90,4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54,9</w:t>
            </w:r>
          </w:p>
        </w:tc>
        <w:tc>
          <w:tcPr>
            <w:tcW w:w="840" w:type="dxa"/>
            <w:vAlign w:val="center"/>
          </w:tcPr>
          <w:p>
            <w:r>
              <w:t>35,5</w:t>
            </w:r>
          </w:p>
        </w:tc>
      </w:tr>
      <w:tr w:rsidR="00985054" w14:paraId="70672662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Suécia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72,1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69,2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59,6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74,4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81,7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76,9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55,8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76,3</w:t>
            </w:r>
          </w:p>
        </w:tc>
        <w:tc>
          <w:tcPr>
            <w:tcW w:w="840" w:type="dxa"/>
            <w:vAlign w:val="center"/>
          </w:tcPr>
          <w:p>
            <w:r>
              <w:t>63,9</w:t>
            </w:r>
          </w:p>
        </w:tc>
      </w:tr>
      <w:tr w:rsidR="00985054" w14:paraId="53EE6DD5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Alemanha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68,6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96,2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80,8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80,8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37,4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62,5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76,9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36,5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78,5</w:t>
            </w:r>
          </w:p>
        </w:tc>
        <w:tc>
          <w:tcPr>
            <w:tcW w:w="840" w:type="dxa"/>
            <w:vAlign w:val="center"/>
          </w:tcPr>
          <w:p>
            <w:r>
              <w:t>68,2</w:t>
            </w:r>
          </w:p>
        </w:tc>
      </w:tr>
      <w:tr w:rsidR="00985054" w14:paraId="3093CC75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Áustria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67,9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87,5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76,9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82,7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59,2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66,4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48,1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61,5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58,3</w:t>
            </w:r>
          </w:p>
        </w:tc>
        <w:tc>
          <w:tcPr>
            <w:tcW w:w="840" w:type="dxa"/>
            <w:vAlign w:val="center"/>
          </w:tcPr>
          <w:p>
            <w:r>
              <w:t>70,1</w:t>
            </w:r>
          </w:p>
        </w:tc>
      </w:tr>
      <w:tr w:rsidR="00985054" w14:paraId="43A1E1CD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Finlândia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67,2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69,2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65,4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69,2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69,4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73,4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59,6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75,0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79,3</w:t>
            </w:r>
          </w:p>
        </w:tc>
        <w:tc>
          <w:tcPr>
            <w:tcW w:w="840" w:type="dxa"/>
            <w:vAlign w:val="center"/>
          </w:tcPr>
          <w:p>
            <w:r>
              <w:t>43,9</w:t>
            </w:r>
          </w:p>
        </w:tc>
      </w:tr>
      <w:tr w:rsidR="00985054" w14:paraId="1A60A60E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10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França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61,9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77,9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73,1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73,1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56,4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55,8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61,5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36,5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62,3</w:t>
            </w:r>
          </w:p>
        </w:tc>
        <w:tc>
          <w:tcPr>
            <w:tcW w:w="840" w:type="dxa"/>
            <w:vAlign w:val="center"/>
          </w:tcPr>
          <w:p>
            <w:r>
              <w:t>60,1</w:t>
            </w:r>
          </w:p>
        </w:tc>
      </w:tr>
      <w:tr w:rsidR="00985054" w14:paraId="549214FC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11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Eslovénia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55,0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36,5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53,8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63,5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46,8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45,6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90,4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44,1</w:t>
            </w:r>
          </w:p>
        </w:tc>
        <w:tc>
          <w:tcPr>
            <w:tcW w:w="840" w:type="dxa"/>
            <w:vAlign w:val="center"/>
          </w:tcPr>
          <w:p>
            <w:r>
              <w:t>63,9</w:t>
            </w:r>
          </w:p>
        </w:tc>
      </w:tr>
      <w:tr w:rsidR="00985054" w14:paraId="476E9486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12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Chéquia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36,5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32,7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58,3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59,6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96,2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54,5</w:t>
            </w:r>
          </w:p>
        </w:tc>
        <w:tc>
          <w:tcPr>
            <w:tcW w:w="840" w:type="dxa"/>
            <w:vAlign w:val="center"/>
          </w:tcPr>
          <w:p>
            <w:r>
              <w:t>37,7</w:t>
            </w:r>
          </w:p>
        </w:tc>
      </w:tr>
      <w:tr w:rsidR="00985054" w14:paraId="43386F20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13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Itália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48,0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59,6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61,5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59,6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50,1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21,2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40,7</w:t>
            </w:r>
          </w:p>
        </w:tc>
        <w:tc>
          <w:tcPr>
            <w:tcW w:w="840" w:type="dxa"/>
            <w:vAlign w:val="center"/>
          </w:tcPr>
          <w:p>
            <w:r>
              <w:t>54,7</w:t>
            </w:r>
          </w:p>
        </w:tc>
      </w:tr>
      <w:tr w:rsidR="00985054" w14:paraId="2C77DFCB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14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Espanha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45,1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53,8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57,7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57,7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41,7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48,6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23,1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23,1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50,5</w:t>
            </w:r>
          </w:p>
        </w:tc>
        <w:tc>
          <w:tcPr>
            <w:tcW w:w="840" w:type="dxa"/>
            <w:vAlign w:val="center"/>
          </w:tcPr>
          <w:p>
            <w:r>
              <w:t>49,8</w:t>
            </w:r>
          </w:p>
        </w:tc>
      </w:tr>
      <w:tr w:rsidR="00985054" w14:paraId="39E74C93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15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Estónia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45,0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30,8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30,8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70,5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67,0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26,0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71,6</w:t>
            </w:r>
          </w:p>
        </w:tc>
        <w:tc>
          <w:tcPr>
            <w:tcW w:w="840" w:type="dxa"/>
            <w:vAlign w:val="center"/>
          </w:tcPr>
          <w:p>
            <w:r>
              <w:t>54,1</w:t>
            </w:r>
          </w:p>
        </w:tc>
      </w:tr>
      <w:tr w:rsidR="00985054" w14:paraId="358EDF50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16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Chipre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55,8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34,6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34,6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55,8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48,1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46,2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36,1</w:t>
            </w:r>
          </w:p>
        </w:tc>
        <w:tc>
          <w:tcPr>
            <w:tcW w:w="840" w:type="dxa"/>
            <w:vAlign w:val="center"/>
          </w:tcPr>
          <w:p>
            <w:r>
              <w:t>45,9</w:t>
            </w:r>
          </w:p>
        </w:tc>
      </w:tr>
      <w:tr w:rsidR="00985054" w14:paraId="70260397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17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Polónia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43,7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39,4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19,2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30,8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67,1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28,5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90,4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41,7</w:t>
            </w:r>
          </w:p>
        </w:tc>
        <w:tc>
          <w:tcPr>
            <w:tcW w:w="840" w:type="dxa"/>
            <w:vAlign w:val="center"/>
          </w:tcPr>
          <w:p>
            <w:r>
              <w:t>36,1</w:t>
            </w:r>
          </w:p>
        </w:tc>
      </w:tr>
      <w:tr w:rsidR="00985054" w14:paraId="45C431E2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18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Malta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43,6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52,9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46,2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53,4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48,1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28,6</w:t>
            </w:r>
          </w:p>
        </w:tc>
        <w:tc>
          <w:tcPr>
            <w:tcW w:w="840" w:type="dxa"/>
            <w:vAlign w:val="center"/>
          </w:tcPr>
          <w:p>
            <w:r>
              <w:t>35,3</w:t>
            </w:r>
          </w:p>
        </w:tc>
      </w:tr>
      <w:tr w:rsidR="00985054" w14:paraId="1BD9F9F7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19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Eslováquia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40,9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14,4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17,3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41,0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22,6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61,5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90,4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21,5</w:t>
            </w:r>
          </w:p>
        </w:tc>
        <w:tc>
          <w:tcPr>
            <w:tcW w:w="840" w:type="dxa"/>
            <w:vAlign w:val="center"/>
          </w:tcPr>
          <w:p>
            <w:r>
              <w:t>49,4</w:t>
            </w:r>
          </w:p>
        </w:tc>
      </w:tr>
      <w:tr w:rsidR="00985054" w14:paraId="56E4B3CD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20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Lituânia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38,8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38,5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23,1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68,8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43,6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62,3</w:t>
            </w:r>
          </w:p>
        </w:tc>
        <w:tc>
          <w:tcPr>
            <w:tcW w:w="840" w:type="dxa"/>
            <w:vAlign w:val="center"/>
          </w:tcPr>
          <w:p>
            <w:r>
              <w:t>43,8</w:t>
            </w:r>
          </w:p>
        </w:tc>
      </w:tr>
      <w:tr w:rsidR="00985054" w14:paraId="2F6FAB24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21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Portugal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35,7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38,5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11,5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19,2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51,2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19,2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41,3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45,8</w:t>
            </w:r>
          </w:p>
        </w:tc>
        <w:tc>
          <w:tcPr>
            <w:tcW w:w="840" w:type="dxa"/>
            <w:vAlign w:val="center"/>
          </w:tcPr>
          <w:p>
            <w:r>
              <w:t>50,0</w:t>
            </w:r>
          </w:p>
        </w:tc>
      </w:tr>
      <w:tr w:rsidR="00985054" w14:paraId="5DF47FCF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22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Hungria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30,8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14,4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26,9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5,8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35,5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33,2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63,5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44,2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17,6</w:t>
            </w:r>
          </w:p>
        </w:tc>
        <w:tc>
          <w:tcPr>
            <w:tcW w:w="840" w:type="dxa"/>
            <w:vAlign w:val="center"/>
          </w:tcPr>
          <w:p>
            <w:r>
              <w:t>36,3</w:t>
            </w:r>
          </w:p>
        </w:tc>
      </w:tr>
      <w:tr w:rsidR="00985054" w14:paraId="48240322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23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Croácia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30,7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21,2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15,4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30,8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39,1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27,6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9,6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48,1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21,7</w:t>
            </w:r>
          </w:p>
        </w:tc>
        <w:tc>
          <w:tcPr>
            <w:tcW w:w="840" w:type="dxa"/>
            <w:vAlign w:val="center"/>
          </w:tcPr>
          <w:p>
            <w:r>
              <w:t>63,2</w:t>
            </w:r>
          </w:p>
        </w:tc>
      </w:tr>
      <w:tr w:rsidR="00985054" w14:paraId="6D63E835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24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Roménia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29,5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26,9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34,6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26,9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12,3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63,5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38,5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11,7</w:t>
            </w:r>
          </w:p>
        </w:tc>
        <w:tc>
          <w:tcPr>
            <w:tcW w:w="840" w:type="dxa"/>
            <w:vAlign w:val="center"/>
          </w:tcPr>
          <w:p>
            <w:r>
              <w:t>44,4</w:t>
            </w:r>
          </w:p>
        </w:tc>
      </w:tr>
      <w:tr w:rsidR="00985054" w14:paraId="7633219E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25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Letónia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24,8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2,9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11,5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37,6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19,5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32,7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11,5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54,4</w:t>
            </w:r>
          </w:p>
        </w:tc>
        <w:tc>
          <w:tcPr>
            <w:tcW w:w="840" w:type="dxa"/>
            <w:vAlign w:val="center"/>
          </w:tcPr>
          <w:p>
            <w:r>
              <w:t>44,9</w:t>
            </w:r>
          </w:p>
        </w:tc>
      </w:tr>
      <w:tr w:rsidR="00985054" w14:paraId="33B239B8" w14:textId="77777777">
        <w:trPr>
          <w:jc w:val="center"/>
        </w:trPr>
        <w:tc>
          <w:tcPr>
            <w:tcW w:w="504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26</w:t>
            </w:r>
          </w:p>
        </w:tc>
        <w:tc>
          <w:tcPr>
            <w:tcW w:w="2088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Grécia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21,3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15,4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0,0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11,5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28,4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40,3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23,1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7,7</w:t>
            </w:r>
          </w:p>
        </w:tc>
        <w:tc>
          <w:tcPr>
            <w:tcW w:w="936" w:type="dxa"/>
            <w:shd w:val="clear" w:color="auto" w:fill="F2F5F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23,7</w:t>
            </w:r>
          </w:p>
        </w:tc>
        <w:tc>
          <w:tcPr>
            <w:tcW w:w="840" w:type="dxa"/>
            <w:vAlign w:val="center"/>
          </w:tcPr>
          <w:p>
            <w:r>
              <w:t>41,9</w:t>
            </w:r>
          </w:p>
        </w:tc>
      </w:tr>
      <w:tr w:rsidR="00985054" w14:paraId="6793821F" w14:textId="77777777">
        <w:trPr>
          <w:jc w:val="center"/>
        </w:trPr>
        <w:tc>
          <w:tcPr>
            <w:tcW w:w="50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27</w:t>
            </w:r>
          </w:p>
        </w:tc>
        <w:tc>
          <w:tcPr>
            <w:tcW w:w="208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Bulgária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14,2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6,7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3,8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19,9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20,3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32,7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0,0</w:t>
            </w:r>
          </w:p>
        </w:tc>
        <w:tc>
          <w:tcPr>
            <w:tcW w:w="93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>
            <w:r>
              <w:t>7,7</w:t>
            </w:r>
          </w:p>
        </w:tc>
        <w:tc>
          <w:tcPr>
            <w:tcW w:w="840" w:type="dxa"/>
            <w:vAlign w:val="center"/>
          </w:tcPr>
          <w:p>
            <w:r>
              <w:t>33,0</w:t>
            </w:r>
          </w:p>
        </w:tc>
      </w:tr>
    </w:tbl>
    <w:p w14:paraId="20F3D580" w14:textId="77777777" w:rsidR="00985054" w:rsidRPr="00984171" w:rsidRDefault="00000000">
      <w:pPr>
        <w:rPr>
          <w:lang w:val="pt-PT"/>
        </w:rPr>
      </w:pPr>
      <w:r>
        <w:t>* Ranking atualizado em 8 de outubro de 2026: PISA 2025, Eurostat (extração de 7 de outubro) e WGI 2026 para os 27 países; restantes 54 indicadores da matriz v3.0. Nove dimensões de peso igual. Pontuações apresentadas com uma decimal; cálculo antes do arredondamento.</w:t>
      </w:r>
    </w:p>
    <w:p w14:paraId="45525B1A" w14:textId="77777777" w:rsidR="00985054" w:rsidRPr="00984171" w:rsidRDefault="00985054">
      <w:pPr>
        <w:rPr>
          <w:lang w:val="pt-PT"/>
        </w:rPr>
        <w:sectPr w:rsidR="00985054" w:rsidRPr="00984171">
          <w:pgSz w:w="15840" w:h="12240" w:orient="landscape"/>
          <w:pgMar w:top="792" w:right="792" w:bottom="792" w:left="792" w:header="504" w:footer="504" w:gutter="0"/>
          <w:cols w:space="720"/>
          <w:docGrid w:linePitch="360"/>
        </w:sectPr>
      </w:pPr>
    </w:p>
    <w:p w14:paraId="037DD8DA" w14:textId="77777777" w:rsidR="00985054" w:rsidRPr="00796AB2" w:rsidRDefault="00000000">
      <w:pPr>
        <w:pStyle w:val="Ttulo1"/>
        <w:rPr>
          <w:lang w:val="pt-PT"/>
        </w:rPr>
      </w:pPr>
      <w:r>
        <w:t>7. Robustez e sensibilidade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7704"/>
        <w:gridCol w:w="1584"/>
      </w:tblGrid>
      <w:tr w:rsidR="00985054" w14:paraId="73FE779D" w14:textId="77777777">
        <w:trPr>
          <w:tblHeader/>
          <w:jc w:val="center"/>
        </w:trPr>
        <w:tc>
          <w:tcPr>
            <w:tcW w:w="770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F4E5F6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Especificação leave-one-out</w:t>
            </w:r>
          </w:p>
        </w:tc>
        <w:tc>
          <w:tcPr>
            <w:tcW w:w="158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26BBC7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Posição PT</w:t>
            </w:r>
          </w:p>
        </w:tc>
      </w:tr>
      <w:tr w:rsidR="00985054" w14:paraId="5D125327" w14:textId="77777777">
        <w:trPr>
          <w:jc w:val="center"/>
        </w:trPr>
        <w:tc>
          <w:tcPr>
            <w:tcW w:w="77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3FB654" w14:textId="77777777" w:rsidR="00985054" w:rsidRDefault="00000000">
            <w:pPr>
              <w:spacing w:after="0" w:line="252" w:lineRule="auto"/>
            </w:pPr>
            <w:r>
              <w:t>Sem Prosperidade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21.º</w:t>
            </w:r>
          </w:p>
        </w:tc>
      </w:tr>
      <w:tr w:rsidR="00985054" w14:paraId="29FA055B" w14:textId="77777777">
        <w:trPr>
          <w:jc w:val="center"/>
        </w:trPr>
        <w:tc>
          <w:tcPr>
            <w:tcW w:w="77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CDE8E" w14:textId="77777777" w:rsidR="00985054" w:rsidRDefault="00000000">
            <w:pPr>
              <w:spacing w:after="0" w:line="252" w:lineRule="auto"/>
            </w:pPr>
            <w:r>
              <w:t>Sem Produtividade</w:t>
            </w:r>
          </w:p>
        </w:tc>
        <w:tc>
          <w:tcPr>
            <w:tcW w:w="15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21.º</w:t>
            </w:r>
          </w:p>
        </w:tc>
      </w:tr>
      <w:tr w:rsidR="00985054" w14:paraId="2E89AB02" w14:textId="77777777">
        <w:trPr>
          <w:jc w:val="center"/>
        </w:trPr>
        <w:tc>
          <w:tcPr>
            <w:tcW w:w="77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AC37A4" w14:textId="77777777" w:rsidR="00985054" w:rsidRDefault="00000000">
            <w:pPr>
              <w:spacing w:after="0" w:line="252" w:lineRule="auto"/>
            </w:pPr>
            <w:r>
              <w:t>Sem Remuneração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20.º</w:t>
            </w:r>
          </w:p>
        </w:tc>
      </w:tr>
      <w:tr w:rsidR="00985054" w14:paraId="0E11AC01" w14:textId="77777777">
        <w:trPr>
          <w:jc w:val="center"/>
        </w:trPr>
        <w:tc>
          <w:tcPr>
            <w:tcW w:w="77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7244BD" w14:textId="77777777" w:rsidR="00985054" w:rsidRDefault="00000000">
            <w:pPr>
              <w:spacing w:after="0" w:line="252" w:lineRule="auto"/>
            </w:pPr>
            <w:r>
              <w:t>Sem Educação</w:t>
            </w:r>
          </w:p>
        </w:tc>
        <w:tc>
          <w:tcPr>
            <w:tcW w:w="15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21.º</w:t>
            </w:r>
          </w:p>
        </w:tc>
      </w:tr>
      <w:tr w:rsidR="00985054" w14:paraId="3CB2487A" w14:textId="77777777">
        <w:trPr>
          <w:jc w:val="center"/>
        </w:trPr>
        <w:tc>
          <w:tcPr>
            <w:tcW w:w="77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004D12" w14:textId="77777777" w:rsidR="00985054" w:rsidRDefault="00000000">
            <w:pPr>
              <w:spacing w:after="0" w:line="252" w:lineRule="auto"/>
            </w:pPr>
            <w:r>
              <w:t>Sem Inovação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21.º</w:t>
            </w:r>
          </w:p>
        </w:tc>
      </w:tr>
      <w:tr w:rsidR="00985054" w14:paraId="001ABD00" w14:textId="77777777">
        <w:trPr>
          <w:jc w:val="center"/>
        </w:trPr>
        <w:tc>
          <w:tcPr>
            <w:tcW w:w="77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933914" w14:textId="77777777" w:rsidR="00985054" w:rsidRDefault="00000000">
            <w:pPr>
              <w:spacing w:after="0" w:line="252" w:lineRule="auto"/>
            </w:pPr>
            <w:r>
              <w:t>Sem Competitividade externa</w:t>
            </w:r>
          </w:p>
        </w:tc>
        <w:tc>
          <w:tcPr>
            <w:tcW w:w="15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21.º</w:t>
            </w:r>
          </w:p>
        </w:tc>
      </w:tr>
      <w:tr w:rsidR="00985054" w14:paraId="2BF830AE" w14:textId="77777777">
        <w:trPr>
          <w:jc w:val="center"/>
        </w:trPr>
        <w:tc>
          <w:tcPr>
            <w:tcW w:w="77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D1482C" w14:textId="77777777" w:rsidR="00985054" w:rsidRDefault="00000000">
            <w:pPr>
              <w:spacing w:after="0" w:line="252" w:lineRule="auto"/>
            </w:pPr>
            <w:r>
              <w:t>Sem Coesão social</w:t>
            </w:r>
          </w:p>
        </w:tc>
        <w:tc>
          <w:tcPr>
            <w:tcW w:w="158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20.º</w:t>
            </w:r>
          </w:p>
        </w:tc>
      </w:tr>
      <w:tr w:rsidR="00985054" w14:paraId="74FF7D3C" w14:textId="77777777">
        <w:trPr>
          <w:jc w:val="center"/>
        </w:trPr>
        <w:tc>
          <w:tcPr>
            <w:tcW w:w="77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705A33" w14:textId="77777777" w:rsidR="00985054" w:rsidRDefault="00000000">
            <w:pPr>
              <w:spacing w:after="0" w:line="252" w:lineRule="auto"/>
            </w:pPr>
            <w:r>
              <w:t>Sem Instituições</w:t>
            </w:r>
          </w:p>
        </w:tc>
        <w:tc>
          <w:tcPr>
            <w:tcW w:w="15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21.º</w:t>
            </w:r>
          </w:p>
        </w:tc>
      </w:tr>
      <w:tr w:rsidR="00985054" w14:paraId="74FF7D3C" w14:textId="77777777">
        <w:trPr>
          <w:jc w:val="center"/>
        </w:trPr>
        <w:tc>
          <w:tcPr>
            <w:tcW w:w="77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705A33" w14:textId="77777777" w:rsidR="00985054" w:rsidRDefault="00000000">
            <w:pPr>
              <w:spacing w:after="0" w:line="252" w:lineRule="auto"/>
            </w:pPr>
            <w:r>
              <w:t>Sem Sustentabilidade ambiental</w:t>
            </w:r>
          </w:p>
        </w:tc>
        <w:tc>
          <w:tcPr>
            <w:tcW w:w="158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21.º</w:t>
            </w:r>
          </w:p>
        </w:tc>
      </w:tr>
    </w:tbl>
    <w:p w14:paraId="08744D27" w14:textId="77777777" w:rsidR="00985054" w:rsidRDefault="00000000">
      <w:pPr>
        <w:pStyle w:val="Ttulo2"/>
      </w:pPr>
      <w:r>
        <w:t>7.1 Incerteza dos pesos</w:t>
      </w:r>
    </w:p>
    <w:p w14:paraId="70C08970" w14:textId="77777777" w:rsidR="00985054" w:rsidRPr="00984171" w:rsidRDefault="00000000">
      <w:pPr>
        <w:rPr>
          <w:lang w:val="pt-PT"/>
        </w:rPr>
      </w:pPr>
      <w:r>
        <w:t>Foram repetidas 100 000 simulações por cenário, com pesos Dirichlet simétricos α=4 (moderado) e α=1 (disperso), semente 204061, gerador NumPy default_rng, com os cenários executados nesta ordem. Para α=4, a mediana portuguesa é 21.º, os percentis 5–95 são 20.º–22.º e 99,870% das simulações ficam no terço inferior (19.º–27.º). Para α=1, os valores são 21.º, 18.º–23.º e 91,071%. São testes de sensibilidade dos pesos, não intervalos de confiança estatística.</w:t>
      </w:r>
    </w:p>
    <w:p w14:paraId="25657757" w14:textId="77777777" w:rsidR="00234724" w:rsidRPr="00796AB2" w:rsidRDefault="00000000">
      <w:pPr>
        <w:rPr>
          <w:lang w:val="pt-PT"/>
        </w:rPr>
      </w:pPr>
      <w:r>
        <w:t>Nos nove testes leave-one-out atualizados, Portugal varia entre o 20.º e o 21.º lugares. A exclusão de Remuneração ou Coesão social coloca Portugal em 20.º; a exclusão de qualquer das outras sete dimensões mantém o 21.º lugar. Sem Competitividade externa, o resultado passa de 20.º na base anterior para 21.º após o PISA.</w:t>
      </w:r>
    </w:p>
    <w:p w14:paraId="409FFC94" w14:textId="77777777" w:rsidR="00985054" w:rsidRPr="00984171" w:rsidRDefault="00000000">
      <w:pPr>
        <w:pStyle w:val="Ttulo2"/>
        <w:rPr>
          <w:lang w:val="pt-PT"/>
        </w:rPr>
      </w:pPr>
      <w:r>
        <w:t>7.2 Incerteza de medição</w:t>
      </w:r>
    </w:p>
    <w:p w14:paraId="54A9878A" w14:textId="77777777" w:rsidR="00985054" w:rsidRPr="00984171" w:rsidRDefault="00000000">
      <w:pPr>
        <w:rPr>
          <w:lang w:val="pt-PT"/>
        </w:rPr>
      </w:pPr>
      <w:r>
        <w:t>A sensibilidade leave-one-out do modelo auditado é 20.º–21.º. As correlações entre Prosperidade, Produtividade, Remuneração e Inovação permanecem elevadas e devem ser lidas como redundância potencial entre resultados económicos, não como independência plena das nove dimensões.</w:t>
      </w:r>
    </w:p>
    <w:p w14:paraId="06C1A7CE" w14:textId="77777777" w:rsidR="00234724" w:rsidRPr="00796AB2" w:rsidRDefault="00000000">
      <w:pPr>
        <w:rPr>
          <w:lang w:val="pt-PT"/>
        </w:rPr>
      </w:pPr>
      <w:r>
        <w:t>A sustentabilidade mantém limitações próprias: periodicidade do estado dos habitats, diferença entre designação e eficácia das áreas protegidas e sensibilidade geográfica do risco hídrico. Estas limitações não alteram o resultado leave-one-out global.</w:t>
      </w:r>
    </w:p>
    <w:p w14:paraId="4E4F482D" w14:textId="77777777" w:rsidR="00985054" w:rsidRPr="00984171" w:rsidRDefault="00000000">
      <w:pPr>
        <w:pStyle w:val="Ttulo2"/>
        <w:rPr>
          <w:lang w:val="pt-PT"/>
        </w:rPr>
      </w:pPr>
      <w:r>
        <w:t>7.3 Validação externa</w:t>
      </w:r>
    </w:p>
    <w:p w14:paraId="5290C4FB" w14:textId="77777777" w:rsidR="00985054" w:rsidRPr="00984171" w:rsidRDefault="00000000">
      <w:pPr>
        <w:rPr>
          <w:lang w:val="pt-PT"/>
        </w:rPr>
      </w:pPr>
      <w:r>
        <w:t>A matriz publica as 36 correlações de Spearman entre dimensões. A forte associação do bloco económico confirma validade convergente, mas exige cautela: pesos iguais entre dimensões não eliminam a sobreposição substantiva entre prosperidade, produtividade, remuneração e inovação.</w:t>
      </w:r>
    </w:p>
    <w:p w14:paraId="16E1BAD6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6CC95B90" w14:textId="77777777" w:rsidR="00985054" w:rsidRDefault="00000000">
      <w:pPr>
        <w:pStyle w:val="Ttulo1"/>
      </w:pPr>
      <w:r>
        <w:t>8. Integração da auditoria independente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0C0A5D81" w14:textId="77777777">
        <w:trPr>
          <w:tblHeader/>
          <w:jc w:val="center"/>
        </w:trPr>
        <w:tc>
          <w:tcPr>
            <w:tcW w:w="9288" w:type="dxa"/>
            <w:shd w:val="clear" w:color="auto" w:fill="FAF4E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CONCLUSÃO</w:t>
              <w:br/>
              <w:t>O ICE 2026 é integralmente reproduzível a partir de 1 647 registos. Portugal obtém 35,7197 pontos, ocupa o 21.º lugar e varia apenas entre o 20.º e o 21.º lugares nos nove testes leave-one-out.</w:t>
            </w:r>
          </w:p>
        </w:tc>
      </w:tr>
    </w:tbl>
    <w:p w14:paraId="04B1DB75" w14:textId="77777777" w:rsidR="00985054" w:rsidRPr="00984171" w:rsidRDefault="00985054">
      <w:pPr>
        <w:spacing w:after="40"/>
        <w:rPr>
          <w:lang w:val="pt-PT"/>
        </w:rPr>
      </w:pPr>
    </w:p>
    <w:p w14:paraId="363CD6D2" w14:textId="77777777" w:rsidR="00985054" w:rsidRPr="00984171" w:rsidRDefault="00000000">
      <w:pPr>
        <w:pStyle w:val="Ttulo2"/>
        <w:rPr>
          <w:lang w:val="pt-PT"/>
        </w:rPr>
      </w:pPr>
      <w:r>
        <w:t>8.1 Fragilidades que não invalidam o diagnóstico</w:t>
      </w:r>
    </w:p>
    <w:p w14:paraId="5709FC6C" w14:textId="77777777" w:rsidR="00985054" w:rsidRPr="00984171" w:rsidRDefault="00000000">
      <w:pPr>
        <w:spacing w:after="80"/>
        <w:rPr>
          <w:lang w:val="pt-PT"/>
        </w:rPr>
      </w:pPr>
      <w:r>
        <w:t>• A proximidade entre prosperidade, produtividade e remuneração reflete parte do circuito causal, mas pode produzir peso implícito dos resultados económicos.</w:t>
      </w:r>
    </w:p>
    <w:p w14:paraId="352595AC" w14:textId="77777777" w:rsidR="00985054" w:rsidRPr="00984171" w:rsidRDefault="00000000">
      <w:pPr>
        <w:spacing w:after="80"/>
        <w:rPr>
          <w:lang w:val="pt-PT"/>
        </w:rPr>
      </w:pPr>
      <w:r>
        <w:t>• A distância à Lituânia é de 3,0805 pontos do ICE, face a 3,2087 na atualização de setembro. Portugal permanece em 21.º. A posição exata depende das escolhas de ponderação.</w:t>
      </w:r>
    </w:p>
    <w:p w14:paraId="7DEBCA89" w14:textId="77777777" w:rsidR="00985054" w:rsidRPr="00984171" w:rsidRDefault="00000000">
      <w:pPr>
        <w:spacing w:after="80"/>
        <w:rPr>
          <w:lang w:val="pt-PT"/>
        </w:rPr>
      </w:pPr>
      <w:r>
        <w:t>• A base de 8 de agosto é atualizada no ICE-06 (PISA 2025), ICE-03/04 (Eurostat, 7 de outubro) e ICE-38/42/43/50 (WGI 2026, ano 2025). O índice permanece uma fotografia multianual.</w:t>
      </w:r>
    </w:p>
    <w:p w14:paraId="59C5EEEA" w14:textId="77777777" w:rsidR="00985054" w:rsidRPr="00984171" w:rsidRDefault="00000000">
      <w:pPr>
        <w:spacing w:after="80"/>
        <w:rPr>
          <w:lang w:val="pt-PT"/>
        </w:rPr>
      </w:pPr>
      <w:r>
        <w:t>• Países pequenos, sobretudo Irlanda e Luxemburgo, apresentam estruturas económicas e contabilísticas atípicas; a liderança irlandesa no ICE deve ser interpretada com essa reserva.</w:t>
      </w:r>
    </w:p>
    <w:p w14:paraId="196B7EAC" w14:textId="77777777" w:rsidR="00985054" w:rsidRPr="00984171" w:rsidRDefault="00000000">
      <w:pPr>
        <w:pStyle w:val="Ttulo1"/>
        <w:rPr>
          <w:lang w:val="pt-PT"/>
        </w:rPr>
      </w:pPr>
      <w:r>
        <w:t>9. Decisões metodológicas consolidadas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3816"/>
        <w:gridCol w:w="1440"/>
        <w:gridCol w:w="3528"/>
      </w:tblGrid>
      <w:tr w:rsidR="00985054" w14:paraId="3C5E15AB" w14:textId="77777777">
        <w:trPr>
          <w:tblHeader/>
          <w:jc w:val="center"/>
          <w:cantSplit/>
        </w:trPr>
        <w:tc>
          <w:tcPr>
            <w:tcW w:w="504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E74308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816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036CBE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Ação</w:t>
            </w:r>
          </w:p>
        </w:tc>
        <w:tc>
          <w:tcPr>
            <w:tcW w:w="144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6F588A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Estado</w:t>
            </w:r>
          </w:p>
        </w:tc>
        <w:tc>
          <w:tcPr>
            <w:tcW w:w="35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A483B9" w14:textId="77777777" w:rsidR="00985054" w:rsidRDefault="00000000">
            <w:pPr>
              <w:spacing w:after="20" w:before="20"/>
              <w:jc w:val="center"/>
            </w:pPr>
            <w:r>
              <w:rPr>
                <w:b/>
                <w:color w:val="FFFFFF"/>
                <w:sz w:val="18"/>
              </w:rPr>
              <w:t>Justificação</w:t>
            </w:r>
          </w:p>
        </w:tc>
      </w:tr>
      <w:tr w:rsidR="00985054" w:rsidRPr="00796AB2" w14:paraId="1CA3D7C0" w14:textId="77777777">
        <w:trPr>
          <w:jc w:val="center"/>
          <w:cantSplit/>
        </w:trPr>
        <w:tc>
          <w:tcPr>
            <w:tcW w:w="5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1</w:t>
            </w:r>
          </w:p>
        </w:tc>
        <w:tc>
          <w:tcPr>
            <w:tcW w:w="381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Publicar a matriz 61 × 27</w:t>
            </w:r>
          </w:p>
        </w:tc>
        <w:tc>
          <w:tcPr>
            <w:tcW w:w="144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Concluída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1 647 registos, valores brutos, normalização, imputação e contribuição.</w:t>
            </w:r>
          </w:p>
        </w:tc>
      </w:tr>
      <w:tr w:rsidR="00985054" w:rsidRPr="00796AB2" w14:paraId="56E4951F" w14:textId="77777777">
        <w:trPr>
          <w:jc w:val="center"/>
          <w:cantSplit/>
        </w:trPr>
        <w:tc>
          <w:tcPr>
            <w:tcW w:w="5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2</w:t>
            </w:r>
          </w:p>
        </w:tc>
        <w:tc>
          <w:tcPr>
            <w:tcW w:w="381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Consolidar Prosperidade</w:t>
            </w:r>
          </w:p>
        </w:tc>
        <w:tc>
          <w:tcPr>
            <w:tcW w:w="144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Concluída</w:t>
            </w:r>
          </w:p>
        </w:tc>
        <w:tc>
          <w:tcPr>
            <w:tcW w:w="35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AIC e rendimento disponível ajustado; PIB apenas como sensibilidade.</w:t>
            </w:r>
          </w:p>
        </w:tc>
      </w:tr>
      <w:tr w:rsidR="00985054" w:rsidRPr="00796AB2" w14:paraId="2737F7F5" w14:textId="77777777">
        <w:trPr>
          <w:jc w:val="center"/>
          <w:cantSplit/>
        </w:trPr>
        <w:tc>
          <w:tcPr>
            <w:tcW w:w="5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3</w:t>
            </w:r>
          </w:p>
        </w:tc>
        <w:tc>
          <w:tcPr>
            <w:tcW w:w="381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Consolidar Inovação</w:t>
            </w:r>
          </w:p>
        </w:tc>
        <w:tc>
          <w:tcPr>
            <w:tcW w:w="144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Concluída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EIS 1.x–3.x; exclusão de 4.x para evitar dupla contabilização.</w:t>
            </w:r>
          </w:p>
        </w:tc>
      </w:tr>
      <w:tr w:rsidR="00985054" w:rsidRPr="00796AB2" w14:paraId="6DD7E4B9" w14:textId="77777777">
        <w:trPr>
          <w:jc w:val="center"/>
          <w:cantSplit/>
        </w:trPr>
        <w:tc>
          <w:tcPr>
            <w:tcW w:w="5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4</w:t>
            </w:r>
          </w:p>
        </w:tc>
        <w:tc>
          <w:tcPr>
            <w:tcW w:w="381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Atualizar as nove dimensões</w:t>
            </w:r>
          </w:p>
        </w:tc>
        <w:tc>
          <w:tcPr>
            <w:tcW w:w="144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Concluída</w:t>
            </w:r>
          </w:p>
        </w:tc>
        <w:tc>
          <w:tcPr>
            <w:tcW w:w="35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Edições mais recentes aplicadas simultaneamente à UE-27.</w:t>
            </w:r>
          </w:p>
        </w:tc>
      </w:tr>
      <w:tr w:rsidR="00985054" w:rsidRPr="00796AB2" w14:paraId="3076A523" w14:textId="77777777">
        <w:trPr>
          <w:jc w:val="center"/>
          <w:cantSplit/>
        </w:trPr>
        <w:tc>
          <w:tcPr>
            <w:tcW w:w="5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5</w:t>
            </w:r>
          </w:p>
        </w:tc>
        <w:tc>
          <w:tcPr>
            <w:tcW w:w="381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Corrigir o ICE-49</w:t>
            </w:r>
          </w:p>
        </w:tc>
        <w:tc>
          <w:tcPr>
            <w:tcW w:w="144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Concluída</w:t>
            </w:r>
          </w:p>
        </w:tc>
        <w:tc>
          <w:tcPr>
            <w:tcW w:w="35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Pereira &amp; Andrade e Silva (2009); DOI terminado em .005.</w:t>
            </w:r>
          </w:p>
        </w:tc>
      </w:tr>
      <w:tr w:rsidR="00985054" w:rsidRPr="00796AB2" w14:paraId="0F61E2E9" w14:textId="77777777">
        <w:trPr>
          <w:jc w:val="center"/>
          <w:cantSplit/>
        </w:trPr>
        <w:tc>
          <w:tcPr>
            <w:tcW w:w="5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6</w:t>
            </w:r>
          </w:p>
        </w:tc>
        <w:tc>
          <w:tcPr>
            <w:tcW w:w="381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Recalcular o ranking UE-27</w:t>
            </w:r>
          </w:p>
        </w:tc>
        <w:tc>
          <w:tcPr>
            <w:tcW w:w="144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Concluída</w:t>
            </w:r>
          </w:p>
        </w:tc>
        <w:tc>
          <w:tcPr>
            <w:tcW w:w="35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Portugal 21.º; 35,7197 pontos.</w:t>
            </w:r>
          </w:p>
        </w:tc>
      </w:tr>
      <w:tr w:rsidR="00234724" w:rsidRPr="00796AB2" w14:paraId="60D82DD7" w14:textId="77777777">
        <w:trPr>
          <w:jc w:val="center"/>
          <w:cantSplit/>
        </w:trPr>
        <w:tc>
          <w:tcPr>
            <w:tcW w:w="504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7</w:t>
            </w:r>
          </w:p>
        </w:tc>
        <w:tc>
          <w:tcPr>
            <w:tcW w:w="3816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Testar robustez</w:t>
            </w:r>
          </w:p>
        </w:tc>
        <w:tc>
          <w:tcPr>
            <w:tcW w:w="144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Concluída</w:t>
            </w:r>
          </w:p>
        </w:tc>
        <w:tc>
          <w:tcPr>
            <w:tcW w:w="35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20" w:before="20"/>
            </w:pPr>
            <w:r>
              <w:rPr>
                <w:sz w:val="18"/>
              </w:rPr>
              <w:t>Nove exclusões: 20.º–21.º; 100 000 simulações por cenário α=4 e α=1.</w:t>
            </w:r>
          </w:p>
        </w:tc>
      </w:tr>
    </w:tbl>
    <w:p w14:paraId="60637EA6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63FE9592" w14:textId="77777777" w:rsidR="00985054" w:rsidRDefault="00000000">
      <w:pPr>
        <w:pStyle w:val="Ttulo1"/>
      </w:pPr>
      <w:r>
        <w:t>10. Formulação pública autorizada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88"/>
      </w:tblGrid>
      <w:tr w:rsidR="00985054" w:rsidRPr="00796AB2" w14:paraId="4487C7A8" w14:textId="77777777">
        <w:trPr>
          <w:tblHeader/>
          <w:jc w:val="center"/>
        </w:trPr>
        <w:tc>
          <w:tcPr>
            <w:tcW w:w="928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TEXTO RECOMENDADO</w:t>
              <w:br/>
              <w:t>Portugal encontra-se no terço inferior da União Europeia no Índice de Convergência Estrutural da Associação Democracia Plena. No modelo consolidado de 2026 ocupa o 21.º lugar, com 35,7197 pontos. Nos nove testes leave-one-out varia apenas entre o 20.º e o 21.º lugares. O ICE é um índice próprio, não uma estatística oficial.</w:t>
            </w:r>
          </w:p>
        </w:tc>
      </w:tr>
    </w:tbl>
    <w:p w14:paraId="28033E51" w14:textId="77777777" w:rsidR="00985054" w:rsidRPr="00984171" w:rsidRDefault="00985054">
      <w:pPr>
        <w:spacing w:after="40"/>
        <w:rPr>
          <w:lang w:val="pt-PT"/>
        </w:rPr>
      </w:pPr>
    </w:p>
    <w:p w14:paraId="1F7A6B71" w14:textId="77777777" w:rsidR="00985054" w:rsidRPr="00984171" w:rsidRDefault="00000000">
      <w:pPr>
        <w:rPr>
          <w:lang w:val="pt-PT"/>
        </w:rPr>
      </w:pPr>
      <w:r>
        <w:t>A posição de Portugal deve ser comunicada como resultado próprio da Associação Democracia Plena: 21.º lugar, 35,7197 pontos, com variação entre 20.º e 21.º nos nove testes leave-one-out. O ICE não é uma estatística oficial, embora assente maioritariamente em dados oficiais e numa cadeia reproduzível.</w:t>
      </w:r>
    </w:p>
    <w:p w14:paraId="36788280" w14:textId="77777777" w:rsidR="00985054" w:rsidRPr="00984171" w:rsidRDefault="00000000">
      <w:pPr>
        <w:rPr>
          <w:lang w:val="pt-PT"/>
        </w:rPr>
      </w:pPr>
      <w:r w:rsidRPr="00984171">
        <w:rPr>
          <w:lang w:val="pt-PT"/>
        </w:rPr>
        <w:br w:type="page"/>
      </w:r>
    </w:p>
    <w:p w14:paraId="48334809" w14:textId="77777777" w:rsidR="00985054" w:rsidRDefault="00000000">
      <w:pPr>
        <w:pStyle w:val="Ttulo1"/>
      </w:pPr>
      <w:r>
        <w:t>Anexo A — Fontes institucionais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0"/>
        <w:gridCol w:w="3700"/>
        <w:gridCol w:w="3492"/>
      </w:tblGrid>
      <w:tr w:rsidR="00985054" w14:paraId="480148A4" w14:textId="77777777">
        <w:trPr>
          <w:tblHeader/>
          <w:jc w:val="center"/>
        </w:trPr>
        <w:tc>
          <w:tcPr>
            <w:tcW w:w="260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5F4B72" w14:textId="77777777" w:rsidR="00985054" w:rsidRDefault="00000000">
            <w:pPr>
              <w:spacing w:after="60" w:before="60"/>
              <w:jc w:val="center"/>
            </w:pPr>
            <w:r>
              <w:rPr>
                <w:b/>
                <w:color w:val="FFFFFF"/>
                <w:sz w:val="18"/>
              </w:rPr>
              <w:t>Instituição/fonte</w:t>
            </w:r>
          </w:p>
        </w:tc>
        <w:tc>
          <w:tcPr>
            <w:tcW w:w="370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DE4DDF" w14:textId="77777777" w:rsidR="00985054" w:rsidRDefault="00000000">
            <w:pPr>
              <w:spacing w:after="60" w:before="60"/>
              <w:jc w:val="center"/>
            </w:pPr>
            <w:r>
              <w:rPr>
                <w:b/>
                <w:color w:val="FFFFFF"/>
                <w:sz w:val="18"/>
              </w:rPr>
              <w:t>Utilização</w:t>
            </w:r>
          </w:p>
        </w:tc>
        <w:tc>
          <w:tcPr>
            <w:tcW w:w="3492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5E4ECA" w14:textId="77777777" w:rsidR="00985054" w:rsidRDefault="00000000">
            <w:pPr>
              <w:spacing w:after="60" w:before="60"/>
              <w:jc w:val="center"/>
            </w:pPr>
            <w:r>
              <w:rPr>
                <w:b/>
                <w:color w:val="FFFFFF"/>
                <w:sz w:val="18"/>
              </w:rPr>
              <w:t>Ligação</w:t>
            </w:r>
          </w:p>
        </w:tc>
      </w:tr>
      <w:tr w:rsidR="00985054" w:rsidRPr="00796AB2" w14:paraId="3380206C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60" w:before="60"/>
            </w:pPr>
            <w:r>
              <w:rPr>
                <w:sz w:val="18"/>
              </w:rPr>
              <w:t>Eurostat · AIC e rendimento disponível ajustado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60" w:before="60"/>
            </w:pPr>
            <w:r>
              <w:rPr>
                <w:sz w:val="18"/>
              </w:rPr>
              <w:t>Prosperidade · especificação principal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60" w:before="60"/>
            </w:pPr>
            <w:r>
              <w:rPr>
                <w:sz w:val="18"/>
              </w:rPr>
            </w:r>
            <w:hyperlink r:id="rId13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29C80FA9" w14:textId="77777777">
        <w:trPr>
          <w:jc w:val="center"/>
        </w:trPr>
        <w:tc>
          <w:tcPr>
            <w:tcW w:w="26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60" w:before="60"/>
            </w:pPr>
            <w:r>
              <w:rPr>
                <w:sz w:val="18"/>
              </w:rPr>
              <w:t>Eurostat · prc_ppp_ind_1</w:t>
            </w:r>
          </w:p>
        </w:tc>
        <w:tc>
          <w:tcPr>
            <w:tcW w:w="37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60" w:before="60"/>
            </w:pPr>
            <w:r>
              <w:rPr>
                <w:sz w:val="18"/>
              </w:rPr>
              <w:t>PIB per capita PPC · especificação de sensibilidade</w:t>
            </w:r>
          </w:p>
        </w:tc>
        <w:tc>
          <w:tcPr>
            <w:tcW w:w="349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60" w:before="60"/>
            </w:pPr>
            <w:r>
              <w:rPr>
                <w:sz w:val="18"/>
              </w:rPr>
            </w:r>
            <w:hyperlink r:id="rId13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7B1338EF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0D8D20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Eurostat — Labour and capital productivity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EBF072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Produtividade por hora e remuneração por empregado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742DF0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14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529043BC" w14:textId="77777777">
        <w:trPr>
          <w:jc w:val="center"/>
        </w:trPr>
        <w:tc>
          <w:tcPr>
            <w:tcW w:w="26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C267B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BCE — Data Portal</w:t>
            </w:r>
          </w:p>
        </w:tc>
        <w:tc>
          <w:tcPr>
            <w:tcW w:w="37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DD07B0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Dados de salários e custos do trabalho</w:t>
            </w:r>
          </w:p>
        </w:tc>
        <w:tc>
          <w:tcPr>
            <w:tcW w:w="349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7CBDF5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15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61487CBF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835413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Eurostat — Structure of Earnings Survey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D0909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Remuneração horária mediana bruta em PPC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907796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16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14:paraId="5F8BE294" w14:textId="77777777">
        <w:trPr>
          <w:jc w:val="center"/>
        </w:trPr>
        <w:tc>
          <w:tcPr>
            <w:tcW w:w="26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6A1A0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OCDE — PISA 2025</w:t>
            </w:r>
          </w:p>
        </w:tc>
        <w:tc>
          <w:tcPr>
            <w:tcW w:w="37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342BB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ICE-06; quadro I.1; divulgado em 08-09-2026</w:t>
            </w:r>
          </w:p>
        </w:tc>
        <w:tc>
          <w:tcPr>
            <w:tcW w:w="349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B3BDF9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</w:r>
            <w:hyperlink r:id="rId12">
              <w:r>
                <w:rPr>
                  <w:color w:val="176C83"/>
                </w:rPr>
                <w:t>Relatório e quadro oficial PISA 2025</w:t>
              </w:r>
            </w:hyperlink>
          </w:p>
        </w:tc>
      </w:tr>
      <w:tr w:rsidR="00985054" w14:paraId="5B2B0305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8041E7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Eurostat — Education and training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6CF13E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Qualificações, abandono e aprendizagem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6FA573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</w:r>
            <w:hyperlink r:id="rId17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14:paraId="12B5E5FB" w14:textId="77777777">
        <w:trPr>
          <w:jc w:val="center"/>
        </w:trPr>
        <w:tc>
          <w:tcPr>
            <w:tcW w:w="26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1FB348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Comissão Europeia · EIS 2026</w:t>
            </w:r>
          </w:p>
        </w:tc>
        <w:tc>
          <w:tcPr>
            <w:tcW w:w="37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after="60" w:before="60"/>
            </w:pPr>
            <w:r>
              <w:rPr>
                <w:sz w:val="18"/>
              </w:rPr>
              <w:t>EIS 1.x–3.x e competitividade externa 4.2.1–4.2.2</w:t>
            </w:r>
          </w:p>
        </w:tc>
        <w:tc>
          <w:tcPr>
            <w:tcW w:w="349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1AC2F3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</w:r>
            <w:hyperlink r:id="rId18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727E77B2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4491D7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Eurostat — Macroeconomic Imbalances Procedure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9BE622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Desempenho exportador usado apenas como sensibilidade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D877F4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19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14:paraId="1F95286C" w14:textId="77777777">
        <w:trPr>
          <w:jc w:val="center"/>
        </w:trPr>
        <w:tc>
          <w:tcPr>
            <w:tcW w:w="26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C2E05F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Eurostat — EU-SILC</w:t>
            </w:r>
          </w:p>
        </w:tc>
        <w:tc>
          <w:tcPr>
            <w:tcW w:w="37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268E53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Gini e AROPE</w:t>
            </w:r>
          </w:p>
        </w:tc>
        <w:tc>
          <w:tcPr>
            <w:tcW w:w="349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2F030F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</w:r>
            <w:hyperlink r:id="rId20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55D62B5E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3C8622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Eurostat — AROPE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F2AA76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Definição de pobreza e exclusão social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8217C1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21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73D4F298" w14:textId="77777777">
        <w:trPr>
          <w:jc w:val="center"/>
        </w:trPr>
        <w:tc>
          <w:tcPr>
            <w:tcW w:w="26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4A907D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Banco Mundial — WGI</w:t>
            </w:r>
          </w:p>
        </w:tc>
        <w:tc>
          <w:tcPr>
            <w:tcW w:w="37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95CF00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Estado de direito, eficácia governativa, qualidade regulatória e controlo da corrupção</w:t>
            </w:r>
          </w:p>
        </w:tc>
        <w:tc>
          <w:tcPr>
            <w:tcW w:w="349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32E056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22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552DE7A9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6BA9A1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V-Dem v16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575B6D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Limitação do executivo, administração, seleção partidária e corrupção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5B71EA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23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14:paraId="517E3E27" w14:textId="77777777">
        <w:trPr>
          <w:jc w:val="center"/>
        </w:trPr>
        <w:tc>
          <w:tcPr>
            <w:tcW w:w="26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1D2D70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Comissão Europeia — EU Justice Scoreboard</w:t>
            </w:r>
          </w:p>
        </w:tc>
        <w:tc>
          <w:tcPr>
            <w:tcW w:w="370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6502DF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Independência judicial percebida</w:t>
            </w:r>
          </w:p>
        </w:tc>
        <w:tc>
          <w:tcPr>
            <w:tcW w:w="3492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2BEF0B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</w:r>
            <w:hyperlink r:id="rId24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985054" w:rsidRPr="00796AB2" w14:paraId="2C24B770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23511B" w14:textId="77777777" w:rsidR="00985054" w:rsidRDefault="00000000">
            <w:pPr>
              <w:spacing w:after="60" w:line="252" w:lineRule="auto" w:before="60"/>
            </w:pPr>
            <w:r>
              <w:rPr>
                <w:sz w:val="18"/>
              </w:rPr>
              <w:t>Pereira, P. T., &amp; Andrade e Silva, J. (2009)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EB6B13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  <w:t>Índice de Liberdade de Escolha dos Votantes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7791E4" w14:textId="77777777" w:rsidR="00985054" w:rsidRPr="00984171" w:rsidRDefault="00000000">
            <w:pPr>
              <w:spacing w:after="60" w:line="252" w:lineRule="auto" w:before="60"/>
              <w:rPr>
                <w:lang w:val="pt-PT"/>
              </w:rPr>
            </w:pPr>
            <w:r>
              <w:rPr>
                <w:sz w:val="18"/>
              </w:rPr>
            </w:r>
            <w:hyperlink r:id="rId25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234724" w:rsidRPr="00796AB2" w14:paraId="7F05EFB6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9E14D6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Eurostat — Air emissions intensity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224B8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  <w:t>Intensidade de gases com efeito de estufa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976B8D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</w:r>
            <w:hyperlink r:id="rId26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234724" w14:paraId="62B1514A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CA241D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Eurostat — Renewable energy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D81DE9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Quota de energia renovável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006863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</w:r>
            <w:hyperlink r:id="rId27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234724" w14:paraId="7C3A9436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886DFB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Eurostat — SDG 7.30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F017D0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Produtividade energética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CE7A67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</w:r>
            <w:hyperlink r:id="rId28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234724" w14:paraId="6AD868C3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54D0CD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Eurostat — SDG 12.41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DB4BF9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Utilização circular de materiais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FE60E7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</w:r>
            <w:hyperlink r:id="rId29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234724" w14:paraId="3E6864BC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3801CC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  <w:t>Agência Europeia do Ambiente — WEI+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A99372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  <w:t>Pressão hídrica máxima sazonal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8A804A" w14:textId="77777777" w:rsidR="00234724" w:rsidRPr="00796AB2" w:rsidRDefault="00000000">
            <w:pPr>
              <w:spacing w:after="60" w:before="60"/>
              <w:rPr>
                <w:sz w:val="15"/>
                <w:szCs w:val="15"/>
              </w:rPr>
            </w:pPr>
            <w:r>
              <w:rPr>
                <w:sz w:val="18"/>
              </w:rPr>
            </w:r>
            <w:hyperlink r:id="rId30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234724" w:rsidRPr="00796AB2" w14:paraId="400C29B2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ED4F92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  <w:t>Agência Europeia do Ambiente — Protected areas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12749F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  <w:t>Percentagem de área terrestre protegida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10D6C6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</w:r>
            <w:hyperlink r:id="rId31">
              <w:r>
                <w:rPr>
                  <w:color w:val="176C83"/>
                </w:rPr>
                <w:t>Consultar fonte oficial</w:t>
              </w:r>
            </w:hyperlink>
          </w:p>
        </w:tc>
      </w:tr>
      <w:tr w:rsidR="00234724" w:rsidRPr="00796AB2" w14:paraId="2A17211F" w14:textId="77777777">
        <w:trPr>
          <w:jc w:val="center"/>
        </w:trPr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A85B3F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  <w:t>Agência Europeia do Ambiente — Article 17</w:t>
            </w:r>
          </w:p>
        </w:tc>
        <w:tc>
          <w:tcPr>
            <w:tcW w:w="37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C1419A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  <w:t>Estado de conservação dos habitats</w:t>
            </w:r>
          </w:p>
        </w:tc>
        <w:tc>
          <w:tcPr>
            <w:tcW w:w="349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FE6FE3" w14:textId="77777777" w:rsidR="00234724" w:rsidRPr="00796AB2" w:rsidRDefault="00000000">
            <w:pPr>
              <w:spacing w:after="60" w:before="60"/>
              <w:rPr>
                <w:sz w:val="15"/>
                <w:szCs w:val="15"/>
                <w:lang w:val="pt-PT"/>
              </w:rPr>
            </w:pPr>
            <w:r>
              <w:rPr>
                <w:sz w:val="18"/>
              </w:rPr>
            </w:r>
            <w:hyperlink r:id="rId32">
              <w:r>
                <w:rPr>
                  <w:color w:val="176C83"/>
                </w:rPr>
                <w:t>Consultar fonte oficial</w:t>
              </w:r>
            </w:hyperlink>
          </w:p>
        </w:tc>
      </w:tr>
    </w:tbl>
    <w:p w14:paraId="545E6AF1" w14:textId="77777777" w:rsidR="00985054" w:rsidRPr="00984171" w:rsidRDefault="00000000">
      <w:pPr>
        <w:pStyle w:val="Ttulo1"/>
        <w:rPr>
          <w:lang w:val="pt-PT"/>
        </w:rPr>
      </w:pPr>
      <w:r>
        <w:t>Anexo B — Ficheiros de reprodução preservados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557"/>
        <w:gridCol w:w="3455"/>
      </w:tblGrid>
      <w:tr w:rsidR="00985054" w14:paraId="5B2439AC" w14:textId="77777777">
        <w:trPr>
          <w:tblHeader/>
          <w:jc w:val="center"/>
        </w:trPr>
        <w:tc>
          <w:tcPr>
            <w:tcW w:w="5328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3980BC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Ficheiro</w:t>
            </w:r>
          </w:p>
        </w:tc>
        <w:tc>
          <w:tcPr>
            <w:tcW w:w="3960" w:type="dxa"/>
            <w:shd w:val="clear" w:color="auto" w:fill="003B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0C7653" w14:textId="77777777" w:rsidR="00985054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Função</w:t>
            </w:r>
          </w:p>
        </w:tc>
      </w:tr>
      <w:tr w:rsidR="00985054" w:rsidRPr="00796AB2" w14:paraId="45D4636A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matriz_auditavel_ICE_v3_2.xlsx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Livro principal auditável e reproduzível.</w:t>
            </w:r>
          </w:p>
        </w:tc>
      </w:tr>
      <w:tr w:rsidR="00985054" w:rsidRPr="00796AB2" w14:paraId="18F074A8" w14:textId="77777777">
        <w:trPr>
          <w:jc w:val="center"/>
        </w:trPr>
        <w:tc>
          <w:tcPr>
            <w:tcW w:w="53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F6B225" w14:textId="77777777" w:rsidR="00985054" w:rsidRDefault="00000000">
            <w:pPr>
              <w:spacing w:after="0" w:line="252" w:lineRule="auto"/>
            </w:pPr>
            <w:r>
              <w:t>Base 61x27</w:t>
            </w:r>
          </w:p>
        </w:tc>
        <w:tc>
          <w:tcPr>
            <w:tcW w:w="396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1D3113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1 647 registos atómicos com valores brutos e normalizados.</w:t>
            </w:r>
          </w:p>
        </w:tc>
      </w:tr>
      <w:tr w:rsidR="00985054" w:rsidRPr="00796AB2" w14:paraId="0027CC4E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B800D6" w14:textId="77777777" w:rsidR="00985054" w:rsidRDefault="00000000">
            <w:pPr>
              <w:spacing w:after="0" w:line="252" w:lineRule="auto"/>
            </w:pPr>
            <w:r>
              <w:t>Catálogo 61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04E73C" w14:textId="77777777" w:rsidR="00985054" w:rsidRPr="00984171" w:rsidRDefault="00000000">
            <w:pPr>
              <w:spacing w:after="0" w:line="252" w:lineRule="auto"/>
              <w:rPr>
                <w:lang w:val="pt-PT"/>
              </w:rPr>
            </w:pPr>
            <w:r>
              <w:t>Definições, fontes, orientação, pesos e regras de atualização.</w:t>
            </w:r>
          </w:p>
        </w:tc>
      </w:tr>
      <w:tr w:rsidR="00985054" w:rsidRPr="00796AB2" w14:paraId="20D0D94F" w14:textId="77777777">
        <w:trPr>
          <w:jc w:val="center"/>
        </w:trPr>
        <w:tc>
          <w:tcPr>
            <w:tcW w:w="53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Inputs auditoria</w:t>
            </w:r>
          </w:p>
        </w:tc>
        <w:tc>
          <w:tcPr>
            <w:tcW w:w="396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PIB/PPC e SII completo preservados como especificações de sensibilidade.</w:t>
            </w:r>
          </w:p>
        </w:tc>
      </w:tr>
      <w:tr w:rsidR="00985054" w:rsidRPr="00796AB2" w14:paraId="79F7FB70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Proveniência correções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Consultas, filtros, versões, ficheiros e fundamentação das decisões consolidadas.</w:t>
            </w:r>
          </w:p>
        </w:tc>
      </w:tr>
      <w:tr w:rsidR="00985054" w:rsidRPr="00796AB2" w14:paraId="0249F7B4" w14:textId="77777777">
        <w:trPr>
          <w:jc w:val="center"/>
        </w:trPr>
        <w:tc>
          <w:tcPr>
            <w:tcW w:w="53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EIS decomposição</w:t>
            </w:r>
          </w:p>
        </w:tc>
        <w:tc>
          <w:tcPr>
            <w:tcW w:w="396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EIS 1.x–3.x principal; 4.x documentado para controlo e prevenção de duplicações.</w:t>
            </w:r>
          </w:p>
        </w:tc>
      </w:tr>
      <w:tr w:rsidR="00985054" w:rsidRPr="00796AB2" w14:paraId="60F2F69D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Dimensões 61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Nove dimensões e ICE consolidado por país.</w:t>
            </w:r>
          </w:p>
        </w:tc>
      </w:tr>
      <w:tr w:rsidR="00985054" w:rsidRPr="00796AB2" w14:paraId="5F318E23" w14:textId="77777777">
        <w:trPr>
          <w:jc w:val="center"/>
        </w:trPr>
        <w:tc>
          <w:tcPr>
            <w:tcW w:w="5328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Ranking ICE</w:t>
            </w:r>
          </w:p>
        </w:tc>
        <w:tc>
          <w:tcPr>
            <w:tcW w:w="3960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Ranking UE-27 da especificação consolidada.</w:t>
            </w:r>
          </w:p>
        </w:tc>
      </w:tr>
      <w:tr w:rsidR="00985054" w:rsidRPr="00796AB2" w14:paraId="7E02CC34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Comparação modelos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r>
              <w:t>Diferenças entre a especificação consolidada e a alternativa PIB + SII completo.</w:t>
            </w:r>
          </w:p>
        </w:tc>
      </w:tr>
      <w:tr w:rsidR="00234724" w:rsidRPr="00796AB2" w14:paraId="7E4BECAE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60EB23" w14:textId="77777777" w:rsidR="00234724" w:rsidRPr="00796AB2" w:rsidRDefault="00000000">
            <w:pPr>
              <w:spacing w:after="0"/>
              <w:rPr>
                <w:sz w:val="17"/>
                <w:szCs w:val="17"/>
                <w:lang w:val="pt-PT"/>
              </w:rPr>
            </w:pPr>
            <w:r>
              <w:t>Leave-one-out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298E7B" w14:textId="77777777" w:rsidR="00234724" w:rsidRPr="00796AB2" w:rsidRDefault="00000000">
            <w:pPr>
              <w:spacing w:after="0"/>
              <w:rPr>
                <w:sz w:val="17"/>
                <w:szCs w:val="17"/>
                <w:lang w:val="pt-PT"/>
              </w:rPr>
            </w:pPr>
            <w:r>
              <w:t>Exclusão sucessiva das nove dimensões para os 27 países.</w:t>
            </w:r>
          </w:p>
        </w:tc>
      </w:tr>
      <w:tr w:rsidR="00234724" w:rsidRPr="00796AB2" w14:paraId="334D5A69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C3D3E9" w14:textId="77777777" w:rsidR="00234724" w:rsidRPr="00796AB2" w:rsidRDefault="00000000">
            <w:pPr>
              <w:spacing w:after="0"/>
              <w:rPr>
                <w:sz w:val="17"/>
                <w:szCs w:val="17"/>
              </w:rPr>
            </w:pPr>
            <w:r>
              <w:t>Correlações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A55F80" w14:textId="77777777" w:rsidR="00234724" w:rsidRPr="00796AB2" w:rsidRDefault="00000000">
            <w:pPr>
              <w:spacing w:after="0"/>
              <w:rPr>
                <w:sz w:val="17"/>
                <w:szCs w:val="17"/>
                <w:lang w:val="pt-PT"/>
              </w:rPr>
            </w:pPr>
            <w:r>
              <w:t>36 correlações de Spearman entre dimensões.</w:t>
            </w:r>
          </w:p>
        </w:tc>
      </w:tr>
      <w:tr w:rsidR="00234724" w:rsidRPr="00796AB2" w14:paraId="6E9957E4" w14:textId="77777777">
        <w:trPr>
          <w:jc w:val="center"/>
        </w:trPr>
        <w:tc>
          <w:tcPr>
            <w:tcW w:w="532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924EBA" w14:textId="77777777" w:rsidR="00234724" w:rsidRPr="00796AB2" w:rsidRDefault="00000000">
            <w:pPr>
              <w:spacing w:after="0"/>
              <w:rPr>
                <w:sz w:val="17"/>
                <w:szCs w:val="17"/>
              </w:rPr>
            </w:pPr>
            <w:r>
              <w:t>QIE ILE</w:t>
            </w:r>
          </w:p>
        </w:tc>
        <w:tc>
          <w:tcPr>
            <w:tcW w:w="396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E31494" w14:textId="77777777" w:rsidR="00234724" w:rsidRPr="00796AB2" w:rsidRDefault="00000000">
            <w:pPr>
              <w:spacing w:after="0"/>
              <w:rPr>
                <w:sz w:val="17"/>
                <w:szCs w:val="17"/>
                <w:lang w:val="pt-PT"/>
              </w:rPr>
            </w:pPr>
            <w:r>
              <w:t>Fórmula e parâmetros do ICE-49 por país.</w:t>
            </w:r>
          </w:p>
        </w:tc>
      </w:tr>
    </w:tbl>
    <w:p w14:paraId="0BCDB5C6" w14:textId="77777777" w:rsidR="002D0FDC" w:rsidRPr="00984171" w:rsidRDefault="002D0FDC">
      <w:pPr>
        <w:rPr>
          <w:lang w:val="pt-PT"/>
        </w:rPr>
      </w:pPr>
    </w:p>
    <w:p>
      <w:r>
        <w:br w:type="page"/>
      </w:r>
    </w:p>
    <w:p>
      <w:pPr>
        <w:pStyle w:val="Ttulo1"/>
      </w:pPr>
      <w:r>
        <w:t>Anexo C — Recálculo PISA 2025 e rastreabilidade</w:t>
      </w:r>
    </w:p>
    <w:p>
      <w:r>
        <w:t>Atualização estatística de 8 de setembro de 2026 · ICE-06 · período de referência: 2025.</w:t>
      </w:r>
    </w:p>
    <w:p>
      <w:r>
        <w:t>O indicador é a média aritmética das pontuações de ciências, leitura e matemática. Foram atualizados os 27 países em simultâneo, mantendo os restantes 60 indicadores da matriz v3.0. O peso do ICE-06 é 1/3 da Educação e 1/27 do ICE global. A transformação é N = 100 × (27 − r)/26, em que r é a posição decrescente média nos empates; Educação nova = Educação anterior + (N novo − N anterior)/3; ICE novo = ICE anterior + (N novo − N anterior)/27.</w:t>
      </w:r>
    </w:p>
    <w:p>
      <w:r>
        <w:t>Os resultados usam as pontuações por área arredondadas a inteiros publicadas pela OCDE, em continuidade com a precisão da matriz de base. Empates são tratados por posição média. O Luxemburgo passa da imputação PISA 2022 por medianas UE-26 para observações de 2025. A confiança é elevada na reprodução aritmética nesta precisão; a ordenação das estimativas pontuais não demonstra significância estatística das diferenças entre países. A OCDE assinala cautela amostral para os Países Baixos.</w:t>
      </w:r>
    </w:p>
    <w:tbl>
      <w:tblPr>
        <w:tblW w:type="dxa" w:w="9792"/>
        <w:tblLayout w:type="fixed"/>
        <w:tblLook w:firstColumn="1" w:firstRow="1" w:lastColumn="0" w:lastRow="0" w:noHBand="0" w:noVBand="1" w:val="04A0"/>
        <w:tblInd w:w="100" w:type="dxa"/>
      </w:tblPr>
      <w:tblGrid>
        <w:gridCol w:w="2200"/>
        <w:gridCol w:w="1300"/>
        <w:gridCol w:w="1300"/>
        <w:gridCol w:w="1450"/>
        <w:gridCol w:w="1300"/>
        <w:gridCol w:w="2242"/>
      </w:tblGrid>
      <w:tr>
        <w:trPr>
          <w:cantSplit/>
          <w:tblHeader/>
        </w:trPr>
        <w:tc>
          <w:tcPr>
            <w:tcW w:type="dxa" w:w="22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País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Ciências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Leitura</w:t>
            </w:r>
          </w:p>
        </w:tc>
        <w:tc>
          <w:tcPr>
            <w:tcW w:type="dxa" w:w="145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Matemática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Média</w:t>
            </w:r>
          </w:p>
        </w:tc>
        <w:tc>
          <w:tcPr>
            <w:tcW w:type="dxa" w:w="2242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Posição ICE-06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Áustria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467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Bélgica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466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478,67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6,0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Bulgária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387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404,33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26,0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Chipre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379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412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400,67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27,0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Chéquia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478,33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7,0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Alemanha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486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465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471,67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10,5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Dinamarca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12,5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Estónia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527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499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511,33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Grécia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427,00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24,0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Espanha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451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461,67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19,0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Finlândia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482,33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França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456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465,67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Croácia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476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461,33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20,0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Hungria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452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463,67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17,0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Irlanda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500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493,33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Itália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475,00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8,0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Lituânia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9,0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Luxemburgo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458,33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21,0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Letónia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430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452,67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22,0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Malta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415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435,67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23,0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Países Baixos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441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12,5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Polónia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482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487,00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Portugal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482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462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14,0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Roménia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419,00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25,0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Suécia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466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471,67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10,5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Eslovénia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445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463,00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18,0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Eslováquia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448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464,00</w:t>
            </w:r>
          </w:p>
        </w:tc>
        <w:tc>
          <w:tcPr>
            <w:tcW w:type="dxa" w:w="224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16,0</w:t>
            </w:r>
          </w:p>
        </w:tc>
      </w:tr>
    </w:tbl>
    <w:p>
      <w:r>
        <w:t xml:space="preserve">Fonte: </w:t>
      </w:r>
      <w:hyperlink r:id="rId12">
        <w:r>
          <w:rPr>
            <w:color w:val="176C83"/>
          </w:rPr>
          <w:t>OCDE, PISA 2025 Results (Volume I), quadro I.1, pp. 28–29; divulgação em 8 de setembro de 2026.</w:t>
        </w:r>
      </w:hyperlink>
    </w:p>
    <w:p>
      <w:r>
        <w:t>Base de confronto: matriz_auditavel_61_indicadores_ICE_v3_0 (1).xlsx, 61 × 27, proveniência de 8 de agosto de 2026. O resultado anterior foi reproduzido para os 27 países a partir dos valores brutos, orientação e pesos. Esta atualização não utiliza a base distinta de julho publicada no site.</w:t>
      </w:r>
    </w:p>
    <w:p>
      <w:pPr>
        <w:pStyle w:val="Ttulo2"/>
      </w:pPr>
      <w:r>
        <w:t>Efeito em Portugal e nos seis países acompanhados</w:t>
      </w:r>
    </w:p>
    <w:tbl>
      <w:tblPr>
        <w:tblW w:type="dxa" w:w="9792"/>
        <w:tblLayout w:type="fixed"/>
        <w:tblLook w:firstColumn="1" w:firstRow="1" w:lastColumn="0" w:lastRow="0" w:noHBand="0" w:noVBand="1" w:val="04A0"/>
        <w:tblInd w:w="100" w:type="dxa"/>
      </w:tblPr>
      <w:tblGrid>
        <w:gridCol w:w="2448"/>
        <w:gridCol w:w="2448"/>
        <w:gridCol w:w="2448"/>
        <w:gridCol w:w="2448"/>
      </w:tblGrid>
      <w:tr>
        <w:trPr>
          <w:cantSplit/>
          <w:tblHeader/>
        </w:trPr>
        <w:tc>
          <w:tcPr>
            <w:tcW w:type="dxa" w:w="2448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Medida — Portugal</w:t>
            </w:r>
          </w:p>
        </w:tc>
        <w:tc>
          <w:tcPr>
            <w:tcW w:type="dxa" w:w="2448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Anterior</w:t>
            </w:r>
          </w:p>
        </w:tc>
        <w:tc>
          <w:tcPr>
            <w:tcW w:type="dxa" w:w="2448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Atualizado</w:t>
            </w:r>
          </w:p>
        </w:tc>
        <w:tc>
          <w:tcPr>
            <w:tcW w:type="dxa" w:w="2448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Variação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Média PISA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477,67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468,00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−9,67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Posição no ICE-06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16.º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14.º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+2 lugares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Educação (0–100)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42,0940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44,6581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+2,5641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Posição Educação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17.º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15.º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+2 lugares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ICE global (0–100)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35,2852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35,5701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+0,2849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Posição global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21.º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21.º</w:t>
            </w:r>
          </w:p>
        </w:tc>
        <w:tc>
          <w:tcPr>
            <w:tcW w:type="dxa" w:w="2448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Sem alteração</w:t>
            </w:r>
          </w:p>
        </w:tc>
      </w:tr>
    </w:tbl>
    <w:p>
      <w:r>
        <w:t>A queda absoluta portuguesa na média PISA coincide com uma melhoria ordinal, porque vários países recuam mais. Portugal aproxima-se da Eslovénia, Chéquia, Estónia e Polónia no ICE global; a vantagem da Eslováquia e da Lituânia aumenta. Os seis países continuam acima de Portugal e mantêm as suas posições globais.</w:t>
      </w:r>
    </w:p>
    <w:tbl>
      <w:tblPr>
        <w:tblW w:type="dxa" w:w="9792"/>
        <w:tblLayout w:type="fixed"/>
        <w:tblLook w:firstColumn="1" w:firstRow="1" w:lastColumn="0" w:lastRow="0" w:noHBand="0" w:noVBand="1" w:val="04A0"/>
        <w:tblInd w:w="100" w:type="dxa"/>
      </w:tblPr>
      <w:tblGrid>
        <w:gridCol w:w="1800"/>
        <w:gridCol w:w="1300"/>
        <w:gridCol w:w="1300"/>
        <w:gridCol w:w="900"/>
        <w:gridCol w:w="1800"/>
        <w:gridCol w:w="2692"/>
      </w:tblGrid>
      <w:tr>
        <w:trPr>
          <w:cantSplit/>
          <w:tblHeader/>
        </w:trPr>
        <w:tc>
          <w:tcPr>
            <w:tcW w:type="dxa" w:w="18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País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ICE anterior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ICE atualizado</w:t>
            </w:r>
          </w:p>
        </w:tc>
        <w:tc>
          <w:tcPr>
            <w:tcW w:type="dxa" w:w="9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Lugar</w:t>
            </w:r>
          </w:p>
        </w:tc>
        <w:tc>
          <w:tcPr>
            <w:tcW w:type="dxa" w:w="18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Vantagem anterior sobre PT</w:t>
            </w:r>
          </w:p>
        </w:tc>
        <w:tc>
          <w:tcPr>
            <w:tcW w:type="dxa" w:w="2692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Vantagem atual sobre PT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Eslovénia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56,1639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55,0243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11.º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20,8787</w:t>
            </w:r>
          </w:p>
        </w:tc>
        <w:tc>
          <w:tcPr>
            <w:tcW w:type="dxa" w:w="269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19,4542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Chéquia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51,1277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50,8428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12.º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15,8425</w:t>
            </w:r>
          </w:p>
        </w:tc>
        <w:tc>
          <w:tcPr>
            <w:tcW w:type="dxa" w:w="269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15,2727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Estónia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44,9089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44,9089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9,6237</w:t>
            </w:r>
          </w:p>
        </w:tc>
        <w:tc>
          <w:tcPr>
            <w:tcW w:type="dxa" w:w="269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9,3388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Eslováquia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39,7276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40,7247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19.º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4,4424</w:t>
            </w:r>
          </w:p>
        </w:tc>
        <w:tc>
          <w:tcPr>
            <w:tcW w:type="dxa" w:w="269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5,1546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Polónia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43,4651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43,6075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18.º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8,1799</w:t>
            </w:r>
          </w:p>
        </w:tc>
        <w:tc>
          <w:tcPr>
            <w:tcW w:type="dxa" w:w="269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8,0375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Lituânia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37,3543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38,7788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20.º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2,0691</w:t>
            </w:r>
          </w:p>
        </w:tc>
        <w:tc>
          <w:tcPr>
            <w:tcW w:type="dxa" w:w="2692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3,2087</w:t>
            </w:r>
          </w:p>
        </w:tc>
      </w:tr>
    </w:tbl>
    <w:p>
      <w:r>
        <w:t>A atualização do ICE integral não reestima automaticamente as datas históricas de ultrapassagem. Os painéis, regras de cobertura, transporte e testes históricos exigem reprodução própria antes de alterar essas datas. Este anexo preserva a etapa PISA de setembro; a atualização corrente da matriz está documentada no Anexo D.</w:t>
      </w:r>
    </w:p>
    <w:p>
      <w:r>
        <w:br w:type="page"/>
      </w:r>
    </w:p>
    <w:p>
      <w:pPr>
        <w:pStyle w:val="Ttulo1"/>
      </w:pPr>
      <w:r>
        <w:t>Anexo D — Consolidação estatística de outubro de 2026</w:t>
      </w:r>
    </w:p>
    <w:p>
      <w:r>
        <w:t>Versão 3.2 · 8 de outubro de 2026 · metodologia v3.0 preservada</w:t>
      </w:r>
    </w:p>
    <w:p>
      <w:r>
        <w:t>Foram atualizados os 27 países em simultâneo nas séries anuais ICE-03/04 do Eurostat (2025; extração de 7 de outubro) e nos quatro WGI: ICE-38 Estado de direito, ICE-42 eficácia governativa, ICE-43 qualidade regulatória e ICE-50 controlo da corrupção (edição 2026; observações de 2025). A atualização PISA de setembro é mantida. Os restantes 54 indicadores, pesos, orientação e tratamento dos empates permanecem inalterados.</w:t>
      </w:r>
    </w:p>
    <w:p>
      <w:r>
        <w:t>A revisão Eurostat eleva a compensação por empregado de Portugal de 38 506,9 para 38 805,2 PPC e a posição no ICE-04 de 19.º para 18.º. A atualização do ICE-03 não altera a ordenação. Os WGI reduzem a pontuação institucional portuguesa; não demonstram, por si só, uma deterioração estatisticamente significativa. As estimativas históricas revistas não foram aplicadas automaticamente à reconstrução histórica.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Portugal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8 setembro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8 outubro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Variação</w:t>
            </w:r>
          </w:p>
        </w:tc>
      </w:tr>
      <w:tr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ICE global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35,5701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35,7197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+0,1496</w:t>
            </w:r>
          </w:p>
        </w:tc>
      </w:tr>
      <w:tr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Lugar global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21.º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21.º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0</w:t>
            </w:r>
          </w:p>
        </w:tc>
      </w:tr>
      <w:tr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Remuneração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17,3077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19,2308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+1,9231</w:t>
            </w:r>
          </w:p>
        </w:tc>
      </w:tr>
      <w:tr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Instituições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46,3542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45,7772</w:t>
            </w:r>
          </w:p>
        </w:tc>
        <w:tc>
          <w:tcPr>
            <w:tcW w:type="dxa" w:w="2448"/>
          </w:tcPr>
          <w:p>
            <w:pPr>
              <w:spacing w:after="80"/>
            </w:pPr>
            <w:r>
              <w:rPr>
                <w:sz w:val="18"/>
              </w:rPr>
              <w:t>-0,5769</w:t>
            </w:r>
          </w:p>
        </w:tc>
      </w:tr>
    </w:tbl>
    <w:p>
      <w:r>
        <w:t>A Remuneração mantém o 22.º lugar e as Instituições o 16.º. O pilar Capacidade institucional passa do 17.º para o 18.º lugar. No ranking global, a Polónia sobe de 18.º para 17.º e Malta desce de 17.º para 18.º; os restantes 25 países mantêm a posição da etapa de setembro.</w:t>
      </w:r>
    </w:p>
    <w:p>
      <w:r>
        <w:t>A robustez foi recalculada: nove exclusões dimensionais, Portugal entre 20.º e 21.º; 100 000 simulações por cenário, Dirichlet α=4 seguido de α=1, NumPy default_rng, semente 204061. Medianas: 21.º nos dois cenários. P05–P95: 20.º–22.º e 18.º–23.º. Frequência no terço inferior: 99,870% e 91,071%. São testes de ponderação, não intervalos de confiança amostral.</w:t>
      </w:r>
    </w:p>
    <w:p>
      <w:r>
        <w:t>Fontes: Eurostat, nama_10_lp_ulc (NLPR_HW/PC_EU27_2020_MPPS_CP e D1_SAL_PER/PPS_EU27_2020); Banco Mundial, WGI 2026 Governance Estimates and Scores (1996–2025), folhas rl, ge, rq e cc, coluna Governance estimate. Ligações, filtros e SHA-256 dos ficheiros constam de Proveniência correções na matriz v3.2.</w:t>
      </w:r>
    </w:p>
    <w:p>
      <w:r>
        <w:br w:type="page"/>
      </w:r>
    </w:p>
    <w:p>
      <w:pPr>
        <w:pStyle w:val="Ttulo2"/>
      </w:pPr>
      <w:r>
        <w:t>Comparação com os países acompanhados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País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ICE setembro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ICE outubro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Lugar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Distância a PT</w:t>
            </w:r>
          </w:p>
        </w:tc>
      </w:tr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Eslovénia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55,0243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54,9549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11.º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19,2352</w:t>
            </w:r>
          </w:p>
        </w:tc>
      </w:tr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Chéquia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50,8428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50,6505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12.º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14,9309</w:t>
            </w:r>
          </w:p>
        </w:tc>
      </w:tr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Estónia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44,9089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44,9516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15.º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9,2320</w:t>
            </w:r>
          </w:p>
        </w:tc>
      </w:tr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Polónia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43,6075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43,7358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17.º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8,0161</w:t>
            </w:r>
          </w:p>
        </w:tc>
      </w:tr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Eslováquia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40,7247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40,8957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19.º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5,1760</w:t>
            </w:r>
          </w:p>
        </w:tc>
      </w:tr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Lituânia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38,7788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38,8002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20.º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3,0805</w:t>
            </w:r>
          </w:p>
        </w:tc>
      </w:tr>
      <w:tr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Portugal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35,5701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35,7197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21.º</w:t>
            </w:r>
          </w:p>
        </w:tc>
        <w:tc>
          <w:tcPr>
            <w:tcW w:type="dxa" w:w="1958"/>
          </w:tcPr>
          <w:p>
            <w:pPr>
              <w:spacing w:after="80"/>
            </w:pPr>
            <w:r>
              <w:rPr>
                <w:sz w:val="18"/>
              </w:rPr>
              <w:t>0,0000</w:t>
            </w:r>
          </w:p>
        </w:tc>
      </w:tr>
    </w:tbl>
    <w:sectPr w:rsidR="002D0FDC" w:rsidRPr="00984171" w:rsidSect="00034616">
      <w:pgSz w:w="12240" w:h="15840"/>
      <w:pgMar w:top="1080" w:right="1224" w:bottom="1080" w:left="1224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4FCB" w14:textId="77777777" w:rsidR="009248AD" w:rsidRDefault="009248AD">
      <w:pPr>
        <w:spacing w:after="0" w:line="240" w:lineRule="auto"/>
      </w:pPr>
      <w:r>
        <w:separator/>
      </w:r>
    </w:p>
  </w:endnote>
  <w:endnote w:type="continuationSeparator" w:id="0">
    <w:p w14:paraId="6B9B8DB7" w14:textId="77777777" w:rsidR="009248AD" w:rsidRDefault="0092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A210" w14:textId="77777777" w:rsidR="00985054" w:rsidRPr="00984171" w:rsidRDefault="00000000">
    <w:pPr>
      <w:pStyle w:val="Rodap"/>
      <w:jc w:val="center"/>
      <w:rPr>
        <w:lang w:val="pt-PT"/>
      </w:rPr>
    </w:pPr>
    <w:r w:rsidRPr="00984171">
      <w:rPr>
        <w:color w:val="5D6972"/>
        <w:sz w:val="16"/>
        <w:lang w:val="pt-PT"/>
      </w:rPr>
      <w:t>Índice de Convergência Estrutural UE-27 · versão 3.2 · outubro de 2026</w:t>
    </w:r>
    <w:proofErr w:type="gramStart"/>
    <w:r w:rsidRPr="00984171">
      <w:rPr>
        <w:color w:val="5D6972"/>
        <w:sz w:val="16"/>
        <w:lang w:val="pt-PT"/>
      </w:rPr>
    </w:r>
    <w:proofErr w:type="gramEnd"/>
    <w:r w:rsidRPr="00984171">
      <w:rPr>
        <w:color w:val="5D6972"/>
        <w:sz w:val="16"/>
        <w:lang w:val="pt-PT"/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EBAB0" w14:textId="77777777" w:rsidR="009248AD" w:rsidRDefault="009248AD">
      <w:pPr>
        <w:spacing w:after="0" w:line="240" w:lineRule="auto"/>
      </w:pPr>
      <w:r>
        <w:separator/>
      </w:r>
    </w:p>
  </w:footnote>
  <w:footnote w:type="continuationSeparator" w:id="0">
    <w:p w14:paraId="55C30F1B" w14:textId="77777777" w:rsidR="009248AD" w:rsidRDefault="0092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2AAB" w14:textId="77777777" w:rsidR="00985054" w:rsidRDefault="00000000">
    <w:pPr>
      <w:pStyle w:val="Cabealho"/>
      <w:jc w:val="right"/>
    </w:pPr>
    <w:r>
      <w:rPr>
        <w:b/>
        <w:color w:val="5D6972"/>
        <w:sz w:val="17"/>
      </w:rPr>
      <w:t xml:space="preserve">DEMOCRACIA </w:t>
    </w:r>
    <w:proofErr w:type="gramStart"/>
    <w:r>
      <w:rPr>
        <w:b/>
        <w:color w:val="5D6972"/>
        <w:sz w:val="17"/>
      </w:rPr>
      <w:t>PLENA  ·</w:t>
    </w:r>
    <w:proofErr w:type="gramEnd"/>
    <w:r>
      <w:rPr>
        <w:b/>
        <w:color w:val="5D6972"/>
        <w:sz w:val="17"/>
      </w:rPr>
      <w:t xml:space="preserve">  DOSSIER METODOLÓGICO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4493812">
    <w:abstractNumId w:val="8"/>
  </w:num>
  <w:num w:numId="2" w16cid:durableId="1642928127">
    <w:abstractNumId w:val="6"/>
  </w:num>
  <w:num w:numId="3" w16cid:durableId="1870095868">
    <w:abstractNumId w:val="5"/>
  </w:num>
  <w:num w:numId="4" w16cid:durableId="1451585232">
    <w:abstractNumId w:val="4"/>
  </w:num>
  <w:num w:numId="5" w16cid:durableId="668368100">
    <w:abstractNumId w:val="7"/>
  </w:num>
  <w:num w:numId="6" w16cid:durableId="2585752">
    <w:abstractNumId w:val="3"/>
  </w:num>
  <w:num w:numId="7" w16cid:durableId="1341005220">
    <w:abstractNumId w:val="2"/>
  </w:num>
  <w:num w:numId="8" w16cid:durableId="1948653671">
    <w:abstractNumId w:val="1"/>
  </w:num>
  <w:num w:numId="9" w16cid:durableId="329600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4724"/>
    <w:rsid w:val="0029639D"/>
    <w:rsid w:val="002D0FDC"/>
    <w:rsid w:val="00326F90"/>
    <w:rsid w:val="00341214"/>
    <w:rsid w:val="00796AB2"/>
    <w:rsid w:val="009248AD"/>
    <w:rsid w:val="00984171"/>
    <w:rsid w:val="00985054"/>
    <w:rsid w:val="009B1185"/>
    <w:rsid w:val="00AA1D8D"/>
    <w:rsid w:val="00B47730"/>
    <w:rsid w:val="00CB0664"/>
    <w:rsid w:val="00F032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B390D9"/>
  <w14:defaultImageDpi w14:val="300"/>
  <w15:docId w15:val="{B2FF68D8-3AFE-4AB3-B1C4-F26E6D6D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D2933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003B4D"/>
      <w:sz w:val="34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3B4D"/>
      <w:sz w:val="27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C5422D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yperlink" Target="https://www.oecd.org/content/dam/oecd/en/publications/reports/2026/09/pisa-2025-results-volume-i_5265bfb1/73451bc5-en.pdf" TargetMode="External"/><Relationship Id="rId13" Type="http://schemas.openxmlformats.org/officeDocument/2006/relationships/hyperlink" Target="https://ec.europa.eu/eurostat/" TargetMode="External"/><Relationship Id="rId14" Type="http://schemas.openxmlformats.org/officeDocument/2006/relationships/hyperlink" Target="https://ec.europa.eu/eurostat/cache/metadata/en/nama_10_prod_esms.htm" TargetMode="External"/><Relationship Id="rId15" Type="http://schemas.openxmlformats.org/officeDocument/2006/relationships/hyperlink" Target="https://data.ecb.europa.eu/data/data-categories/macroeconomic-and-sectoral-statistics/other-prices-and-costs/labour-costs/wages-and-salaries" TargetMode="External"/><Relationship Id="rId16" Type="http://schemas.openxmlformats.org/officeDocument/2006/relationships/hyperlink" Target="https://ec.europa.eu/eurostat/databrowser/view/earn_ses_pub2s/default/table" TargetMode="External"/><Relationship Id="rId17" Type="http://schemas.openxmlformats.org/officeDocument/2006/relationships/hyperlink" Target="https://ec.europa.eu/eurostat/web/education-and-training/information-data/policy-context" TargetMode="External"/><Relationship Id="rId18" Type="http://schemas.openxmlformats.org/officeDocument/2006/relationships/hyperlink" Target="https://research-and-innovation.ec.europa.eu/document/download/c98d9c55-1ff8-4ec8-97b0-ea58c894c4aa_en?filename=ec_rtd_eis-2026-neighborhood-database.xlsx" TargetMode="External"/><Relationship Id="rId19" Type="http://schemas.openxmlformats.org/officeDocument/2006/relationships/hyperlink" Target="https://ec.europa.eu/eurostat/web/macroeconomic-imbalances-procedure/information-data" TargetMode="External"/><Relationship Id="rId20" Type="http://schemas.openxmlformats.org/officeDocument/2006/relationships/hyperlink" Target="https://ec.europa.eu/eurostat/web/income-and-living-conditions/database" TargetMode="External"/><Relationship Id="rId21" Type="http://schemas.openxmlformats.org/officeDocument/2006/relationships/hyperlink" Target="https://ec.europa.eu/eurostat/statistics-explained/index.php?title=Glossary:At_risk_of_poverty_or_social_exclusion_(AROPE)" TargetMode="External"/><Relationship Id="rId22" Type="http://schemas.openxmlformats.org/officeDocument/2006/relationships/hyperlink" Target="https://www.worldbank.org/en/publication/worldwide-governance-indicators" TargetMode="External"/><Relationship Id="rId23" Type="http://schemas.openxmlformats.org/officeDocument/2006/relationships/hyperlink" Target="https://v-dem.net/data/the-v-dem-dataset/" TargetMode="External"/><Relationship Id="rId24" Type="http://schemas.openxmlformats.org/officeDocument/2006/relationships/hyperlink" Target="https://commission.europa.eu/strategy-and-policy/policies/justice-and-fundamental-rights/upholding-rule-law/eu-justice-scoreboard_en" TargetMode="External"/><Relationship Id="rId25" Type="http://schemas.openxmlformats.org/officeDocument/2006/relationships/hyperlink" Target="https://doi.org/10.1016/j.electstud.2008.07.005" TargetMode="External"/><Relationship Id="rId26" Type="http://schemas.openxmlformats.org/officeDocument/2006/relationships/hyperlink" Target="https://ec.europa.eu/eurostat/api/dissemination/statistics/1.0/data/env_ac_aeint_r2?lang=en&amp;sinceTimePeriod=2023&amp;untilTimePeriod=2024&amp;airpol=GHG&amp;nace_r2=TOTAL&amp;na_item=B1G&amp;unit=G_EUR_CLV20" TargetMode="External"/><Relationship Id="rId27" Type="http://schemas.openxmlformats.org/officeDocument/2006/relationships/hyperlink" Target="https://ec.europa.eu/eurostat/api/dissemination/statistics/1.0/data/nrg_ind_ren?lang=en&amp;sinceTimePeriod=2023&amp;untilTimePeriod=2024&amp;nrg_bal=REN&amp;unit=PC" TargetMode="External"/><Relationship Id="rId28" Type="http://schemas.openxmlformats.org/officeDocument/2006/relationships/hyperlink" Target="https://ec.europa.eu/eurostat/api/dissemination/statistics/1.0/data/sdg_07_30?lang=en&amp;sinceTimePeriod=2023&amp;untilTimePeriod=2024&amp;unit=PPS_KGOE" TargetMode="External"/><Relationship Id="rId29" Type="http://schemas.openxmlformats.org/officeDocument/2006/relationships/hyperlink" Target="https://ec.europa.eu/eurostat/api/dissemination/statistics/1.0/data/sdg_12_41?lang=en&amp;sinceTimePeriod=2023&amp;untilTimePeriod=2024&amp;unit=PC" TargetMode="External"/><Relationship Id="rId30" Type="http://schemas.openxmlformats.org/officeDocument/2006/relationships/hyperlink" Target="https://www.eea.europa.eu/en/datahub/datahubitem-view/bf73da3d-40dc-4f18-9ff0-2ccc7acb53ed" TargetMode="External"/><Relationship Id="rId31" Type="http://schemas.openxmlformats.org/officeDocument/2006/relationships/hyperlink" Target="https://www.eea.europa.eu/en/europe-environment-2025/countries/data-download/ee25-terrestrial-protected-areas-all-eea38-countries.csv/@@download/file" TargetMode="External"/><Relationship Id="rId32" Type="http://schemas.openxmlformats.org/officeDocument/2006/relationships/hyperlink" Target="https://www.eea.europa.eu/en/analysis/indicators/conservation-status-of-habitats-un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28</Pages>
  <Words>5585</Words>
  <Characters>30163</Characters>
  <Application>Microsoft Office Word</Application>
  <DocSecurity>0</DocSecurity>
  <Lines>251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Índice de Convergência Estrutural da UE-27 — Relatório metodológico</dc:title>
  <dc:subject>Metodologia final do índice de nove dimensões</dc:subject>
  <dc:creator>Associação Democracia Plena</dc:creator>
  <cp:keywords>Democracia Plena; ICE 2.0; UE-27; sustentabilidade ambiental; metodologia</cp:keywords>
  <dc:description>Atualização estatística PISA 2025 de 8 setembro 2026; metodologia v3.0 preservada.</dc:description>
  <cp:lastModifiedBy>daniel adriao</cp:lastModifiedBy>
  <cp:revision>2</cp:revision>
  <dcterms:created xsi:type="dcterms:W3CDTF">2026-07-29T13:52:00Z</dcterms:created>
  <dcterms:modified xsi:type="dcterms:W3CDTF">2026-07-29T13:52:00Z</dcterms:modified>
  <cp:category/>
  <cp:version>3.1</cp:version>
</cp:coreProperties>
</file>